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VIRT</w:t>
      </w:r>
      <w:r>
        <w:rPr>
          <w:rFonts w:ascii="Calibri" w:hAnsi="Calibri"/>
          <w:b/>
          <w:color w:val="1A2010"/>
          <w:sz w:val="40"/>
        </w:rPr>
        <w:t xml:space="preserve">  Virtu Financial, Inc.</w:t>
      </w:r>
    </w:p>
    <w:p>
      <w:pPr>
        <w:spacing w:after="120"/>
      </w:pPr>
      <w:r>
        <w:rPr>
          <w:rFonts w:ascii="Calibri" w:hAnsi="Calibri"/>
          <w:b/>
          <w:color w:val="6E8450"/>
          <w:sz w:val="18"/>
        </w:rPr>
        <w:t>DIVIDEND SLEEVE · 2026-08-06 · Inspire: 16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Virtu Financial, Inc. is a leading financial technology firm and global market maker that provides liquidity across equities, fixed income, currencies, and commodities. The company operates in two segments: Market Making (proprietary trading and liquidity provision) and Execution Services (agency-based trade execution for institutional clients). Virtu's technology-driven platform processes millions of transactions daily across 235+ venues in 50+ countries. Co-founded by Vincent Viola and led by CEO Douglas Cifu. Market cap approximately $9.3B.</w:t>
      </w:r>
    </w:p>
    <w:p>
      <w:r>
        <w:rPr>
          <w:rFonts w:ascii="Calibri" w:hAnsi="Calibri"/>
          <w:b/>
          <w:color w:val="6E8450"/>
          <w:sz w:val="18"/>
        </w:rPr>
        <w:t>1,100 Employees · https://www.virtu.com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Virtu delivered record results across all key metrics in trailing 12 months — $10.4M adjusted net trading income per day, $1.7B adjusted EBITDA, and $6.96 adjusted EPS, all record highs [1]. Trading capital expanded 70% from $2.0B to $3.4B YoY, enabling entry into new asset classes and geographies. Q2 2026 revenue grew 19% to $1.19B with net trading income up 31.2% [1]. These represent significant organic business expansion. AI Deployment (1/2): Virtu's algorithmic trading platform inherently deploys machine learning and AI for price prediction, execution optimization, and risk management — technology investments are explicitly cited as driving organic growth in both market-making and execution services [1]. However, no specific dollar amount of AI-driven revenue or savings has been publicly quantified. Market Share (1/2): Virtu is one of the largest global electronic market makers alongside Citadel Securities and Jane Street, operating across 235+ venues in 50+ countries, though specific market share percentages were not identified [3]. Product Pipeline (1/2): Capital base expansion from $2B to $3.4B, infrastructure investment, and talent acquisition signal continued scaling across asset classes and geographies with specific growth initiatives underway [1]. R&amp;D Intensity (1/1): Technology is the core competitive moat; Virtu's platform processes millions of transactions daily and the company invests heavily in infrastructure, algorithms, and data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Virtu's implicit purpose centers on providing liquidity and improving market efficiency through technology — a legitimate function but articulated in generic financial services language without a distinctive vision of a better future [3]. Community Impact (0/2): No evidence of charitable foundation, community investment programs, or social impact initiatives beyond the company's commercial operations. Employee Retention (1/2): Glassdoor ratings show 4.3/5 for culture and values and 78% of employees recommend working at Virtu, with reviews praising leadership's investment in personal growth and accountability [4]. However, 3.2/5 work-life balance with average 12+ hour workdays suggests a demanding environment. Insider Buying (0/2): No evidence of meaningful net insider buying. Ongoing investigation by Kahn Swick &amp; Foti (former Louisiana AG) into officers and directors as of April 2025, and SEC settlement in December 2025 for $2.5M penalty over information barrier violations, are negative governance signals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with exceptionally strong results across most categories. D/E of 387% scores 0, but this is structurally distorted by broker-dealer financing — the company has $15.86B cash against $7.64B debt, a net cash position of $8.22B ($53.15/share) [6]. ROE of 52.72% reflects exceptional capital efficiency from the asset-light market-making model [6]. Revenue growth of 19% YoY and forward P/E of 8.68 both score at ceiling [1][6]. Profit margin of 16.46% is near target with 60.8% adjusted EBITDA margin [1]. Dividend metrics are strong: payout ratio of ~22% is well below the 40% target, 9 consecutive years of dividend increases, and estimated 5yr dividend growth CAGR of ~10% [7]. Liquidity check: ~1,140,000 avg daily volume × $59.68 = ~$68M,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Virtu Financial operates with a primarily finite mindset — the company exists to generate trading profits through technological superiority. While the culture of personal growth and long leadership tenure suggest some infinite elements, the core business model is fundamentally about winning in a competitive trading environment. The SEC enforcement action and information barrier violations suggest prioritization of profit over principled governance.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Virtu exists to generate profits through electronic market-making and liquidity provision. While market-making serves the legitimate function of providing liquidity and tightening spreads for investors, Virtu does not articulate this as a Just Cause — there is no vision of a future state that the company is building toward, no purpose that transcends quarterly trading results, and no evidence that the mission shapes strategic decisions beyond profit maximization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 culture where 'personal growth, accountability, leadership, and results' are valued, with new employees 'given responsibility right away' and 'individuals having agency and real impact' [4]. The 4.3/5 culture rating and 78% recommend rate are positive signals. However, the 12+ hour average workdays and 3.2/5 work-life balance suggest a high-pressure environment that may substitute intensity for trust. The SEC finding that information barriers were compromised through 'widely known and frequently shared generic usernames and passwords' suggests systemic organizational practices that undermine proper governance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Virtu competes in a zero-sum electronic trading environment against Citadel Securities, Jane Street, and other high-frequency trading firms. No evidence of management acknowledging competitors' strengths as motivation for self-improvement. The competitive landscape is framed as a technology arms race to be won rather than a collaborative ecosystem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Virtu has evolved beyond pure proprietary market-making to add Execution Services (agency-based institutional trade execution), analytics, and technology solutions for clients [1]. The expansion of trading capital from $2B to $3.4B and entry into new asset classes and geographies represent meaningful business model evolution. However, these are additive extensions of the same core capability (algorithmic trading technology),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Expanding trading capital by 70% ($2B to $3.4B) in a single year represents a significant capital commitment to long-term growth, funded by retained earnings and additional financing [1]. Continued heavy investment in technology and talent during periods of market uncertainty shows willingness to invest ahead of returns. However, the SEC settlement for information barrier violations and the ongoing Kahn Swick investigation suggest governance lapses that undermine the courage narrative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Virtu Financial is delivering record financial performance across every key metric — $10.4M daily adjusted net trading income, $1.7B trailing 12-month adjusted EBITDA, $6.96 adjusted EPS, all record highs — driven by organic growth in both market-making and execution services supported by technology and talent investments [1]. At 8.68x forward earnings with 52.72% ROE, 60.8% adjusted EBITDA margin, and a 70% expansion in trading capital from $2B to $3.4B, Virtu offers exceptional value for a technology-driven franchise generating record cash flows. The 22% payout ratio with 9 consecutive years of dividend increases provides income with significant room for further dividend growth as earnings scale. The all-time high of $68.02 reached in July 2026 validates the market's recognition of Virtu's accelerating growth trajectory [6].</w:t>
      </w:r>
    </w:p>
    <w:p>
      <w:pPr>
        <w:spacing w:after="120"/>
      </w:pPr>
      <w:r>
        <w:rPr>
          <w:rFonts w:ascii="Calibri" w:hAnsi="Calibri"/>
          <w:b w:val="0"/>
          <w:color w:val="3A4A28"/>
          <w:sz w:val="20"/>
        </w:rPr>
        <w:t>The bear case centers on governance risk and business model cyclicality. The December 2025 SEC settlement ($2.5M penalty for information barrier violations between market-making and execution services) and the ongoing Kahn Swick &amp; Foti investigation into officers and directors raise serious governance concerns about Virtu's compliance culture [5]. Market-making revenue is inherently cyclical — Virtu thrives in volatile markets (2020 COVID, 2026 AI-driven trading volumes) but can see sharp earnings declines when volatility normalizes, making current record metrics potentially unsustainable. The D/E ratio of 387% reflects the capital-intensive broker-dealer model, and while the net cash position ($8.22B) mitigates balance sheet risk, high nominal leverage creates vulnerability in credit market stress. Concentration risk in electronic trading technology means a major system failure or regulatory change (e.g., transaction taxes, market structure reforms) could severely impact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Trading capital expansion from $2B to $3.4B enables entry into new asset classes, geographies, and higher-notional strategies that could drive continued record net trading income growth</w:t>
      </w:r>
    </w:p>
    <w:p>
      <w:pPr>
        <w:spacing w:before="40" w:after="40"/>
        <w:ind w:left="283"/>
      </w:pPr>
      <w:r>
        <w:rPr>
          <w:rFonts w:ascii="Calibri" w:hAnsi="Calibri"/>
          <w:b/>
          <w:color w:val="4A6B25"/>
          <w:sz w:val="20"/>
        </w:rPr>
        <w:t xml:space="preserve">2. </w:t>
      </w:r>
      <w:r>
        <w:rPr>
          <w:rFonts w:ascii="Calibri" w:hAnsi="Calibri"/>
          <w:b w:val="0"/>
          <w:color w:val="3A4A28"/>
          <w:sz w:val="20"/>
        </w:rPr>
        <w:t>Execution Services segment growth diversifies revenue beyond proprietary market-making, creating a more stable recurring revenue stream from institutional client relationships</w:t>
      </w:r>
    </w:p>
    <w:p>
      <w:pPr>
        <w:spacing w:before="40" w:after="40"/>
        <w:ind w:left="283"/>
      </w:pPr>
      <w:r>
        <w:rPr>
          <w:rFonts w:ascii="Calibri" w:hAnsi="Calibri"/>
          <w:b/>
          <w:color w:val="4A6B25"/>
          <w:sz w:val="20"/>
        </w:rPr>
        <w:t xml:space="preserve">3. </w:t>
      </w:r>
      <w:r>
        <w:rPr>
          <w:rFonts w:ascii="Calibri" w:hAnsi="Calibri"/>
          <w:b w:val="0"/>
          <w:color w:val="3A4A28"/>
          <w:sz w:val="20"/>
        </w:rPr>
        <w:t>Elevated market volatility driven by AI-related trading activity, geopolitical uncertainty, and crypto market expansion provides secular tailwinds for market-making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 enforcement history (2025 information barrier settlement) and ongoing Kahn Swick investigation into officers and directors create governance overhang and potential for additional regulatory penalties</w:t>
      </w:r>
    </w:p>
    <w:p>
      <w:pPr>
        <w:spacing w:before="40" w:after="40"/>
        <w:ind w:left="283"/>
      </w:pPr>
      <w:r>
        <w:rPr>
          <w:rFonts w:ascii="Calibri" w:hAnsi="Calibri"/>
          <w:b/>
          <w:color w:val="4A6B25"/>
          <w:sz w:val="20"/>
        </w:rPr>
        <w:t xml:space="preserve">2. </w:t>
      </w:r>
      <w:r>
        <w:rPr>
          <w:rFonts w:ascii="Calibri" w:hAnsi="Calibri"/>
          <w:b w:val="0"/>
          <w:color w:val="3A4A28"/>
          <w:sz w:val="20"/>
        </w:rPr>
        <w:t>Market-making revenue is inherently cyclical — current record metrics ($10.4M daily ANTI) depend on elevated market volatility that may normalize, causing sharp earnings declines as seen in 2017-2019</w:t>
      </w:r>
    </w:p>
    <w:p>
      <w:pPr>
        <w:spacing w:before="40" w:after="40"/>
        <w:ind w:left="283"/>
      </w:pPr>
      <w:r>
        <w:rPr>
          <w:rFonts w:ascii="Calibri" w:hAnsi="Calibri"/>
          <w:b/>
          <w:color w:val="4A6B25"/>
          <w:sz w:val="20"/>
        </w:rPr>
        <w:t xml:space="preserve">3. </w:t>
      </w:r>
      <w:r>
        <w:rPr>
          <w:rFonts w:ascii="Calibri" w:hAnsi="Calibri"/>
          <w:b w:val="0"/>
          <w:color w:val="3A4A28"/>
          <w:sz w:val="20"/>
        </w:rPr>
        <w:t>D/E ratio of 387% and $7.64B debt load reflect broker-dealer financing structure that is manageable in current conditions but creates vulnerability in a credit market dislocation or liquidity crisis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Virtu's core market-making business is built ON technology and AI — the company's algorithmic trading systems, proprietary data feeds, colocation infrastructure, and real-time risk management platforms constitute the competitive moat rather than being threatened by AI [1]. Regulatory licensing (broker-dealer, market-maker designations across 50+ countries), physical infrastructure (colocation, low-latency connectivity), and deep capital requirements ($3.4B trading capital) create structural barriers that AI alone cannot replicate. However, more advanced AI from better-funded competitors (Citadel Securities, Jane Street) could erode Virtu's technological edge in specific markets — the arms race in algorithmic trading is perpetual. AI Opportunity (1/1): Virtu generates $2.85B annual revenue entirely from AI-driven algorithmic trading systems. Record adjusted net trading income of $10.4M per day is directly attributable to machine learning models for price prediction, execution optimization, and risk management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Virtu Financial Q2 2026 Earnings — StockTitan, TradingView,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Virtu Financial Q2 2026 Earnings Call Highlights — Yahoo Finance, 24/7 Wall St., August 2026</w:t>
      </w:r>
    </w:p>
    <w:p>
      <w:pPr>
        <w:spacing w:before="20" w:after="20"/>
        <w:ind w:left="170"/>
      </w:pPr>
      <w:r>
        <w:rPr>
          <w:rFonts w:ascii="Calibri" w:hAnsi="Calibri"/>
          <w:b/>
          <w:color w:val="4A6B25"/>
          <w:sz w:val="15"/>
        </w:rPr>
        <w:t xml:space="preserve">3. </w:t>
      </w:r>
      <w:r>
        <w:rPr>
          <w:rFonts w:ascii="Calibri" w:hAnsi="Calibri"/>
          <w:b w:val="0"/>
          <w:color w:val="3A4A28"/>
          <w:sz w:val="17"/>
        </w:rPr>
        <w:t>Virtu Financial Company Overview — virtu.com,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Virtu Financial Glassdoor Reviews — glassdoor.com,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SEC Charges Virtu / SEC Settlement / Kahn Swick Investigation — SEC.gov LR-25827, LR-26427, BusinessWire, 2023-2025</w:t>
      </w:r>
    </w:p>
    <w:p>
      <w:pPr>
        <w:spacing w:before="20" w:after="20"/>
        <w:ind w:left="170"/>
      </w:pPr>
      <w:r>
        <w:rPr>
          <w:rFonts w:ascii="Calibri" w:hAnsi="Calibri"/>
          <w:b/>
          <w:color w:val="4A6B25"/>
          <w:sz w:val="15"/>
        </w:rPr>
        <w:t xml:space="preserve">6. </w:t>
      </w:r>
      <w:r>
        <w:rPr>
          <w:rFonts w:ascii="Calibri" w:hAnsi="Calibri"/>
          <w:b w:val="0"/>
          <w:color w:val="3A4A28"/>
          <w:sz w:val="17"/>
        </w:rPr>
        <w:t>Virtu Financial (VIRT) Statistics &amp; Valuation — StockAnalysis, CNBC, Yahoo Finance,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Virtu Financial Dividend History — StockAnalysis, Nasdaq, Dividend.com,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