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WSM</w:t>
      </w:r>
      <w:r>
        <w:rPr>
          <w:rFonts w:ascii="Calibri" w:hAnsi="Calibri"/>
          <w:b/>
          <w:color w:val="1A2010"/>
          <w:sz w:val="40"/>
        </w:rPr>
        <w:t xml:space="preserve">  Williams-Sonoma, Inc.</w:t>
      </w:r>
    </w:p>
    <w:p>
      <w:pPr>
        <w:spacing w:after="120"/>
      </w:pPr>
      <w:r>
        <w:rPr>
          <w:rFonts w:ascii="Calibri" w:hAnsi="Calibri"/>
          <w:b/>
          <w:color w:val="6E8450"/>
          <w:sz w:val="18"/>
        </w:rPr>
        <w:t>GROWTH SLEEVE · 2026-08-06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Improvement Retail · NYSE · United States</w:t>
      </w:r>
    </w:p>
    <w:p>
      <w:pPr>
        <w:spacing w:after="80"/>
      </w:pPr>
      <w:r>
        <w:rPr>
          <w:rFonts w:ascii="Calibri" w:hAnsi="Calibri"/>
          <w:b w:val="0"/>
          <w:color w:val="3A4A28"/>
          <w:sz w:val="20"/>
        </w:rPr>
        <w:t>Williams-Sonoma, Inc. is a premium omnichannel home furnishing retailer operating through four brands: Pottery Barn (largest), West Elm, Williams Sonoma, and Pottery Barn Kids &amp; Teen. The company operates approximately 540 retail stores and a robust e-commerce platform generating over 60% of revenue digitally. Known for industry-leading ethical production practices and sustainability commitments. Founded in 1956, headquartered in San Francisco, California.</w:t>
      </w:r>
    </w:p>
    <w:p>
      <w:r>
        <w:rPr>
          <w:rFonts w:ascii="Calibri" w:hAnsi="Calibri"/>
          <w:b/>
          <w:color w:val="6E8450"/>
          <w:sz w:val="18"/>
        </w:rPr>
        <w:t>25,000 Employees · https://www.williams-sonomainc.com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Williams-Sonoma has executed well on its digital transformation with e-commerce now exceeding 60% of total revenue, and expanded into B2B through Williams-Sonoma Business, but these are incremental extensions of the existing retail model rather than transformative pivots or new product categories [1]. Brand refreshes and category expansions within Pottery Barn and West Elm represent competent execution, not innovation leadership. AI Deployment (1/2): CEO Laura Alber stated on CNBC's Mad Money that the company sees 'very real impact in financial results from AI investments — from higher conversion and sales growth to measurable cost savings and productivity gains,' with AI embedded across personalization, merchandising, and customer experience [3]. However, specific dollar figures for AI-driven revenue or savings have not been disclosed. Market Share (1/2): Williams-Sonoma brands are well-known in premium home furnishing but the company competes in a fragmented market against RH, Crate &amp; Barrel, Wayfair, and independent retailers without dominant category share [1]. Product Pipeline (0/2): No specific next-generation products, platforms, or launches announced with concrete timelines — growth strategy is centered on same-store comp improvement and brand momentum. R&amp;D Intensity (0/1): As a retailer, traditional R&amp;D spend is not reported; technology investment is directed toward digital commerce and AI but no R&amp;D-to-revenue data is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Williams-Sonoma's purpose centers on 'the power of home' and creating beautiful, functional living spaces through curated design — clear about its role in customers' lives but not distinctive enough to differentiate from premium home furnishing competitors like RH or Crate &amp; Barrel [4]. Community Impact (2/2): Industry-leading ethical production commitment through the Ethical Handcraft program with Fair Trade USA and Nest, impacting over 45,000 handworkers in supply chains, with a commitment to 75% of products hitting social/environmental sustainability goals by decade's end [5]. Named to S&amp;P DJSI North America for ESG performance. CDP disclosures and science-based climate targets demonstrate substantive community and environmental investment. Employee Retention (0/2): Glassdoor Senior Management rating of only 3.0/5 and CEO Laura Alber's approval rating of 62% suggest moderate employee satisfaction without evidence of mission-driven retention [3]. High employee turnover is common in retail and no specific tenure or voluntary turnover data counteracts the weak Glassdoor signal. Insider Buying (0/2): Net insider selling of $14.6M in the last three months with CEO Laura Alber selling 35,000 shares; no meaningful insider purchases identified in recent quarters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$1.81B revenue (up 4.4% YoY) with 4.8% comparable sales growth across all brands, led by West Elm at +8.5%, and operating margin of 16.2% [1]. Exceptional ROE of 51.5% reflects capital-efficient operations with minimal leverage (D/E of 70%, right at target). 5yr revenue CAGR of 11.0% exceeds the 10% target, driven by COVID-era home furnishing demand and sustained digital transformation. Forward P/E of 23.8 and profit margin of 13.9% are slightly below targets but acceptable for a premium retailer with consistent profitability. Weakness in forward PEG of 2.47 — the stock's premium valuation relative to mid-single-digit growth suggests limited upside from current levels. FY2026 guidance of 17.5-18.1% operating margin demonstrates durable profitability, but revenue growth is modest at 2-6% comps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Williams-Sonoma under CEO Laura Alber's 16-year tenure demonstrates a mix of infinite and finite game characteristics. The company's commitment to ethical production (45,000+ handworkers impacted), refusal to chase growth through aggressive discounting or leverage, and consistent brand discipline reflect long-term thinking. However, the mediocre Glassdoor ratings, heavy insider selling, and reliance on incremental brand extensions suggest a company optimizing a mature business model rather than building for transformative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Williams-Sonoma's purpose around 'the power of home' is reinforced by distinctive ethical production commitments — the Fair Trade Handcraft program impacting 45,000+ workers and the 75% sustainable product goal demonstrate purpose beyond profit [4][5]. The company's consistent design philosophy and quality standards across multiple brands show a lived purpose. However, the cause hasn't been tested through existential crisis or leadership transition, as Alber has led continuously for 16 years.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Laura Alber's 16-year tenure provides remarkable leadership continuity, and the decentralized brand-president structure with clear P&amp;L accountability suggests organizational empowerment [3]. However, Glassdoor Senior Management rating of 3.0/5 and CEO approval of 62% indicate average employee satisfaction — well below the levels that signal high-trust environments. Retail sector turnover norms make above-average retention difficult to achieve.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Williams-Sonoma competes against RH, Wayfair, and Crate &amp; Barrel by focusing on its own brand differentiation and design excellence rather than competitive destruction. The company's response to RH's luxury positioning was to strengthen its own brands' identity (West Elm's modern design, Pottery Barn's comfortable elegance) rather than attempt to undercut or replicate rivals. Competitive pressure has driven better digital execution and sustainability leadership.</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e-commerce transformation — from primarily brick-and-mortar to 60%+ digital revenue — represents significant strategic adaptation, accelerated during COVID and sustained thereafter [1]. The company has evolved distribution, marketing, and merchandising around digital-first principles. However, the core business model (selling curated home furnishing products under premium brands) remains fundamentally unchanged since the company's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Alber demonstrated courage in maintaining margin discipline during periods when competitors aggressively discounted, choosing profitability over market share — FY2026 operating margin guidance of 17.5-18.1% is industry-leading [1]. The ethical production commitment and Fair Trade supply chain investment required accepting higher costs for long-term brand integrity [5]. However, the company's growth strategy is conservative — no transformative capital allocation decisions or strategic bets that sacrifice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Williams-Sonoma delivered solid Q1 2026 results with $1.81B revenue (up 4.4% YoY) and 4.8% comparable sales growth across all four brands, led by West Elm's 8.5% gain, demonstrating that the premium home furnishing category retains momentum despite a challenging consumer environment [1]. At a 5yr revenue CAGR of 11%, ROE of 51.5%, and operating margin guidance of 17.5-18.1%, WSM is among the most capital-efficient and profitable retailers in the market. The company's industry-leading ethical production program impacting 45,000+ handworkers and commitment to 75% sustainable products provide brand differentiation that justifies premium pricing [5]. Conservative D/E of 70% and strong free cash flow support a 19-year consecutive dividend growth streak with a 27% payout ratio, leaving significant room for continued increases.</w:t>
      </w:r>
    </w:p>
    <w:p>
      <w:pPr>
        <w:spacing w:after="120"/>
      </w:pPr>
      <w:r>
        <w:rPr>
          <w:rFonts w:ascii="Calibri" w:hAnsi="Calibri"/>
          <w:b w:val="0"/>
          <w:color w:val="3A4A28"/>
          <w:sz w:val="20"/>
        </w:rPr>
        <w:t>The bear case centers on valuation and growth deceleration. At a forward PEG of 2.47 and forward P/E of 23.8, WSM is priced for premium growth that mid-single-digit comps (2-6% guidance) may not justify, creating downside risk if housing market softness or consumer spending weakness reduces home furnishing demand [1]. Revenue growth of 4.4% YoY is a significant deceleration from the pandemic-era surge, and the 5yr CAGR of 11% is inflated by COVID-era home furnishing boom. CEO Laura Alber has sold 35,000 shares recently, and insiders have sold $14.6M in three months with no purchases — undermining confidence in near-term upside [6]. The premium home furnishing category faces cyclical exposure to housing market conditions, rising interest rates, and consumer discretionary spending pressure, with no clear secular growth driver to sustain current valuation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West Elm's accelerating 8.5% comp growth in Q1 2026 indicates a potential new growth engine within the portfolio, with further category expansion and market share gains in modern/contemporary home furnishing</w:t>
      </w:r>
    </w:p>
    <w:p>
      <w:pPr>
        <w:spacing w:before="40" w:after="40"/>
        <w:ind w:left="283"/>
      </w:pPr>
      <w:r>
        <w:rPr>
          <w:rFonts w:ascii="Calibri" w:hAnsi="Calibri"/>
          <w:b/>
          <w:color w:val="4A6B25"/>
          <w:sz w:val="20"/>
        </w:rPr>
        <w:t xml:space="preserve">2. </w:t>
      </w:r>
      <w:r>
        <w:rPr>
          <w:rFonts w:ascii="Calibri" w:hAnsi="Calibri"/>
          <w:b w:val="0"/>
          <w:color w:val="3A4A28"/>
          <w:sz w:val="20"/>
        </w:rPr>
        <w:t>AI-driven personalization and conversion optimization already generating 'very real impact' on financial results, with further deployment expected to widen the digital commerce efficiency advantage over competitors</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toward 18%+ through supply chain optimization and digital mix shift, potentially driving EPS growth faster than revenue growth even in a modest comp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2.47 at a 23.8x forward P/E creates valuation vulnerability — any deceleration below the 2-6% comp guidance could trigger significant multiple compression in a discretionary retail stock</w:t>
      </w:r>
    </w:p>
    <w:p>
      <w:pPr>
        <w:spacing w:before="40" w:after="40"/>
        <w:ind w:left="283"/>
      </w:pPr>
      <w:r>
        <w:rPr>
          <w:rFonts w:ascii="Calibri" w:hAnsi="Calibri"/>
          <w:b/>
          <w:color w:val="4A6B25"/>
          <w:sz w:val="20"/>
        </w:rPr>
        <w:t xml:space="preserve">2. </w:t>
      </w:r>
      <w:r>
        <w:rPr>
          <w:rFonts w:ascii="Calibri" w:hAnsi="Calibri"/>
          <w:b w:val="0"/>
          <w:color w:val="3A4A28"/>
          <w:sz w:val="20"/>
        </w:rPr>
        <w:t>Housing market sensitivity — rising mortgage rates and housing turnover declines directly reduce home furnishing demand, and the premium positioning provides no insulation from consumers trading down during economic weakness</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by CEO Alber ($14.6M net sold in 3 months) signals potential concern about near-term stock price sustainability at current elevated levels relative to the company's mid-single-digit growth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Williams-Sonoma's core business — selling physical home furnishing products through branded stores and e-commerce — has meaningful defensive moats against AI disruption [1]. Physical furniture, cookware, and home decor cannot be digitized, and the company's brand equity, design expertise, and curated aesthetic create switching costs that AI shopping assistants cannot easily replicate. However, AI-powered recommendation engines and conversational commerce could potentially reduce the value of WSM's curated discovery experience by directing consumers to alternatives, and AI-generated interior design tools could commoditize design inspiration that Pottery Barn and West Elm currently monetize [3]. AI Opportunity (0/1): WSM deploys AI internally for personalization, conversion optimization, and operational efficiency with CEO Alber reporting 'real impact in financial results,' but this represents internal cost savings rather than AI-derived revenue products [3]. No AI products are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Williams-Sonoma Q1 2026 Earnings Release — IR Website, BusinessWire, May 21, 2026</w:t>
      </w:r>
    </w:p>
    <w:p>
      <w:pPr>
        <w:spacing w:before="20" w:after="20"/>
        <w:ind w:left="170"/>
      </w:pPr>
      <w:r>
        <w:rPr>
          <w:rFonts w:ascii="Calibri" w:hAnsi="Calibri"/>
          <w:b/>
          <w:color w:val="4A6B25"/>
          <w:sz w:val="15"/>
        </w:rPr>
        <w:t xml:space="preserve">2. </w:t>
      </w:r>
      <w:r>
        <w:rPr>
          <w:rFonts w:ascii="Calibri" w:hAnsi="Calibri"/>
          <w:b w:val="0"/>
          <w:color w:val="3A4A28"/>
          <w:sz w:val="17"/>
        </w:rPr>
        <w:t>Williams-Sonoma Financial Statistics — StockAnalysis, GuruFocus, Macroaxis,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Williams-Sonoma CEO Laura Alber AI Commentary — CNBC Mad Money, Diginomica, Glassdoor Reviews, 2026</w:t>
      </w:r>
    </w:p>
    <w:p>
      <w:pPr>
        <w:spacing w:before="20" w:after="20"/>
        <w:ind w:left="170"/>
      </w:pPr>
      <w:r>
        <w:rPr>
          <w:rFonts w:ascii="Calibri" w:hAnsi="Calibri"/>
          <w:b/>
          <w:color w:val="4A6B25"/>
          <w:sz w:val="15"/>
        </w:rPr>
        <w:t xml:space="preserve">4. </w:t>
      </w:r>
      <w:r>
        <w:rPr>
          <w:rFonts w:ascii="Calibri" w:hAnsi="Calibri"/>
          <w:b w:val="0"/>
          <w:color w:val="3A4A28"/>
          <w:sz w:val="17"/>
        </w:rPr>
        <w:t>Williams-Sonoma Corporate Website and Mission — williams-sonomainc.com,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Williams-Sonoma ESG and Ethical Production — BusinessWire, Forbes, CSRHub, Sustainalytics, 2021-2026</w:t>
      </w:r>
    </w:p>
    <w:p>
      <w:pPr>
        <w:spacing w:before="20" w:after="20"/>
        <w:ind w:left="170"/>
      </w:pPr>
      <w:r>
        <w:rPr>
          <w:rFonts w:ascii="Calibri" w:hAnsi="Calibri"/>
          <w:b/>
          <w:color w:val="4A6B25"/>
          <w:sz w:val="15"/>
        </w:rPr>
        <w:t xml:space="preserve">6. </w:t>
      </w:r>
      <w:r>
        <w:rPr>
          <w:rFonts w:ascii="Calibri" w:hAnsi="Calibri"/>
          <w:b w:val="0"/>
          <w:color w:val="3A4A28"/>
          <w:sz w:val="17"/>
        </w:rPr>
        <w:t>Williams-Sonoma Insider Trading and Dividend History — StockTitan, Kavout, StockAnalysis,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