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XOM</w:t>
      </w:r>
      <w:r>
        <w:rPr>
          <w:rFonts w:ascii="Calibri" w:hAnsi="Calibri"/>
          <w:b/>
          <w:color w:val="1A2010"/>
          <w:sz w:val="40"/>
        </w:rPr>
        <w:t xml:space="preserve">  Exxon Mobil Corporation</w:t>
      </w:r>
    </w:p>
    <w:p>
      <w:pPr>
        <w:spacing w:after="120"/>
      </w:pPr>
      <w:r>
        <w:rPr>
          <w:rFonts w:ascii="Calibri" w:hAnsi="Calibri"/>
          <w:b/>
          <w:color w:val="6E8450"/>
          <w:sz w:val="18"/>
        </w:rPr>
        <w:t>DIVIDEND SLEEVE · 2026-08-16 · Inspire: 26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Integrated Oil &amp; Gas · NYSE · United States</w:t>
      </w:r>
    </w:p>
    <w:p>
      <w:pPr>
        <w:spacing w:after="80"/>
      </w:pPr>
      <w:r>
        <w:rPr>
          <w:rFonts w:ascii="Calibri" w:hAnsi="Calibri"/>
          <w:b w:val="0"/>
          <w:color w:val="3A4A28"/>
          <w:sz w:val="20"/>
        </w:rPr>
        <w:t>ExxonMobil is a Spring, Texas-headquartered integrated oil and gas major engaged in upstream production, refining, chemicals, and an expanding Low Carbon Solutions business spanning carbon capture and direct lithium extraction. The company reported first-quarter 2026 earnings of $4.2B and second-quarter earnings of $14.5B ($3.48/share), with the 2026 revenue outlook raised to $368.3B on continued Permian Basin production growth following the $60B Pioneer Natural Resources acquisition and Guyana development ramp. Twelve-month trailing revenue reached $368.8B (+9.07% YoY) as of mid-2026.</w:t>
      </w:r>
    </w:p>
    <w:p>
      <w:r>
        <w:rPr>
          <w:rFonts w:ascii="Calibri" w:hAnsi="Calibri"/>
          <w:b/>
          <w:color w:val="6E8450"/>
          <w:sz w:val="18"/>
        </w:rPr>
        <w:t>58,000 Employees · https://corporate.exxonmobil.com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$60B Pioneer Natural Resources acquisition closed in 2024 dramatically scaled Permian production, and ExxonMobil's direct lithium extraction (DLE) project in Arkansas represents one of the first commercial-scale DLE operations in the U.S., opening a genuinely new revenue stream beyond hydrocarbons, though the core business model remains oil and gas extraction [1]. AI Deployment (1/2): ExxonMobil applies supercomputing and AI across seismic imaging, subsurface modeling, and reservoir management enterprise-wide, but no specific quantified cost savings or AI-driven revenue figures were identified in research [2]. Market Share (2/2): ExxonMobil is the largest U.S.-listed energy company by market capitalization (~$652B) with dominant scale in the Permian Basin post-Pioneer and a leading U.S. refining position [1]. Product Pipeline (2/2): Specific named projects with timelines include continued Guyana production growth, Permian development plans, and the Golden Pass LNG facility targeting 2026 startup. R&amp;D Intensity (0/1): Oil majors typically spend well below 1% of revenue on R&amp;D relative to technology-intensive industrial peers, placing ExxonMobil below industry-average R&amp;D intensity in relative terms.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ExxonMobil's public messaging around providing 'affordable, reliable energy' is generic and interchangeable with any energy major's marketing, and the company's litigation posture undercuts a genuine service-oriented cause — ExxonMobil sued activist shareholders Arjuna Capital and Follow This to block climate-related proxy proposals, and separately sued California over new climate disclosure laws (SB 253/261) on First Amendment grounds [3]. Community Impact (1/2): General corporate philanthropy exists but no distinctive, dollar-quantified community investment program was identified in research beyond standard corporate giving. Employee Retention (0/2): No specific turnover, tenure, or retention data was found in research. Insider Buying (0/2): No evidence of meaningful net insider buying was identified; research surfaced no notable executive purchase activity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the dividend-stock weighting given ExxonMobil's 43-year dividend growth streak and 2.57% yield. D/E of 16% is excellent (well under the 70% target), Forward P/E of 13.18x and 5-year revenue CAGR of 11.84% both clear their targets comfortably, and revenue growth of 9.07% YoY is just shy of the 10% target [4]. ROE of 12.58% and profit margin of 9.07% both trail their respective 15% and 20% targets, reflecting the lower-margin, capital-intensive nature of integrated oil and gas relative to the Infrastructure rubric's targets. On dividend metrics, the 43 consecutive years of both payment and growth clear their targets, but the 60.3% payout ratio is above the 40% ideal and 5-year dividend growth CAGR of 2.20% is well below the 6% target, reflecting a slower pace of dividend increases in recent years relative to Exxon's 43-year historical average of 5.8%. The stock clears the liquidity floor easily with ~$2.9B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ExxonMobil exhibits the hallmarks of a finite-game player in Sinek's framework: a stated purpose around energy provision that reads as generic marketing rather than a lived cause, paired with an aggressive legal posture toward both climate-focused shareholder activists and state regulators that prioritizes near-term operational and legal protection over inclusive, service-oriented engagement. Large, multi-decade capital commitments (Pioneer acquisition, Permian buildout, lithium extraction) demonstrate long investment horizons, but these read as financially disciplined capital allocation rather than evidence of a Just Cause tested through crisis.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ExxonMobil's public framing around energy security and reliability is standard industry language rather than a distinctive, service-oriented cause, and the company's decision to sue shareholder activists (Arjuna Capital, Follow This) to block climate proposals and to sue California over emissions disclosure laws suggests strategic decisions are oriented toward defending the existing business model rather than advancing a larger cause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specific evidence of internal psychological safety, employee empowerment programs, or retention data was identified in research to support a higher score; the absence of data defaults to a neutral-to-low assessment under the evidence-based scoring rules.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Research did not surface evidence of ExxonMobil framing industry competitors as sources of self-improvement; the company's most visible adversarial posture is directed at shareholder activists and state regulators rather than competitive peers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Low Carbon Solutions business, including carbon capture and direct lithium extraction in Arkansas, represents entry into genuinely new adjacent markets, but the core oil and gas extraction and refining model remains fundamentally unchanged, making this incremental diversification rather than a transformative pivot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$60B Pioneer Natural Resources acquisition and continued multi-billion-dollar investment in Guyana, Permian development, and lithium extraction reflect decades-long capital commitments typical of a long-term-oriented energy major, though these are financially-driven scale plays rather than principled sacrifices of near-term earnings for a stated cause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ExxonMobil delivered second-quarter 2026 earnings of $14.5B ($3.48/share), with the 2026 revenue outlook raised to $368.3B as Permian production scales following the $60B Pioneer Natural Resources acquisition and Guyana output continues growing [1]. A Forward P/E of 13.18x and D/E of just 16% reflect one of the strongest balance sheets among integrated majors, and the 43-year dividend growth streak — with a 2.57% current yield — offers durable income backed by $32.8B in trailing twelve-month profit. The Low Carbon Solutions segment, including a commercial-scale direct lithium extraction project in Arkansas, provides call-option upside on the energy transition without abandoning the core, highly cash-generative hydrocarbon business, and Golden Pass LNG's 2026 startup adds a new growth vector tied to global gas demand, including from power-hungry AI data centers.</w:t>
      </w:r>
    </w:p>
    <w:p>
      <w:pPr>
        <w:spacing w:after="120"/>
      </w:pPr>
      <w:r>
        <w:rPr>
          <w:rFonts w:ascii="Calibri" w:hAnsi="Calibri"/>
          <w:b w:val="0"/>
          <w:color w:val="3A4A28"/>
          <w:sz w:val="20"/>
        </w:rPr>
        <w:t>The bear case centers on commodity cyclicality and governance friction. ROE of 12.58% and profit margin of 9.07% both trail Infrastructure targets, reflecting the capital intensity and cyclicality inherent to integrated oil and gas — a sustained oil price decline would compress margins further. Five-year dividend growth CAGR has slowed to 2.20%, well below the company's 43-year historical average of 5.8% and below the 6% (2x inflation) target used in this framework, suggesting management is prioritizing balance sheet strength and buybacks over aggressive payout growth. On the Return on Intention lens specifically, ExxonMobil scores weakly: its litigation against climate-focused shareholder activists (Arjuna Capital, Follow This) and against California's climate disclosure laws signals a defensive, finite-game posture rather than an inclusive, service-oriented cause, and an ongoing lawsuit over New Mexico orphaned well liability accounting adds environmental-liability disclosure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Golden Pass LNG targeting 2026 startup, adding meaningful new gas export capacity positioned to benefit from both global LNG demand and rising natural-gas-fired power demand tied to AI data center growth [1]</w:t>
      </w:r>
    </w:p>
    <w:p>
      <w:pPr>
        <w:spacing w:before="40" w:after="40"/>
        <w:ind w:left="283"/>
      </w:pPr>
      <w:r>
        <w:rPr>
          <w:rFonts w:ascii="Calibri" w:hAnsi="Calibri"/>
          <w:b/>
          <w:color w:val="4A6B25"/>
          <w:sz w:val="20"/>
        </w:rPr>
        <w:t xml:space="preserve">2. </w:t>
      </w:r>
      <w:r>
        <w:rPr>
          <w:rFonts w:ascii="Calibri" w:hAnsi="Calibri"/>
          <w:b w:val="0"/>
          <w:color w:val="3A4A28"/>
          <w:sz w:val="20"/>
        </w:rPr>
        <w:t>Continued Permian Basin production scaling following the $60B Pioneer Natural Resources acquisition, plus ongoing Guyana output growth, both directly supporting the raised 2026 revenue outlook of $368.3B [1]</w:t>
      </w:r>
    </w:p>
    <w:p>
      <w:pPr>
        <w:spacing w:before="40" w:after="40"/>
        <w:ind w:left="283"/>
      </w:pPr>
      <w:r>
        <w:rPr>
          <w:rFonts w:ascii="Calibri" w:hAnsi="Calibri"/>
          <w:b/>
          <w:color w:val="4A6B25"/>
          <w:sz w:val="20"/>
        </w:rPr>
        <w:t xml:space="preserve">3. </w:t>
      </w:r>
      <w:r>
        <w:rPr>
          <w:rFonts w:ascii="Calibri" w:hAnsi="Calibri"/>
          <w:b w:val="0"/>
          <w:color w:val="3A4A28"/>
          <w:sz w:val="20"/>
        </w:rPr>
        <w:t>Direct lithium extraction project in Arkansas advancing toward commercial scale, providing a diversification vector into battery materials that could re-rate the stock's long-term growth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cyclicality remains the dominant swing factor for earnings — a sustained oil price downturn would pressure the 9.07% profit margin and could slow the pace of dividend increases further below the already-reduced 2.20% five-year CAGR</w:t>
      </w:r>
    </w:p>
    <w:p>
      <w:pPr>
        <w:spacing w:before="40" w:after="40"/>
        <w:ind w:left="283"/>
      </w:pPr>
      <w:r>
        <w:rPr>
          <w:rFonts w:ascii="Calibri" w:hAnsi="Calibri"/>
          <w:b/>
          <w:color w:val="4A6B25"/>
          <w:sz w:val="20"/>
        </w:rPr>
        <w:t xml:space="preserve">2. </w:t>
      </w:r>
      <w:r>
        <w:rPr>
          <w:rFonts w:ascii="Calibri" w:hAnsi="Calibri"/>
          <w:b w:val="0"/>
          <w:color w:val="3A4A28"/>
          <w:sz w:val="20"/>
        </w:rPr>
        <w:t>Ongoing litigation exposure, including the New Mexico orphaned-well liability lawsuit testing whether retirement cost accounting for aging wells understates environmental obligations, and the precedent-setting suit against California's climate disclosure laws (SB 253/261) [3]</w:t>
      </w:r>
    </w:p>
    <w:p>
      <w:pPr>
        <w:spacing w:before="40" w:after="40"/>
        <w:ind w:left="283"/>
      </w:pPr>
      <w:r>
        <w:rPr>
          <w:rFonts w:ascii="Calibri" w:hAnsi="Calibri"/>
          <w:b/>
          <w:color w:val="4A6B25"/>
          <w:sz w:val="20"/>
        </w:rPr>
        <w:t xml:space="preserve">3. </w:t>
      </w:r>
      <w:r>
        <w:rPr>
          <w:rFonts w:ascii="Calibri" w:hAnsi="Calibri"/>
          <w:b w:val="0"/>
          <w:color w:val="3A4A28"/>
          <w:sz w:val="20"/>
        </w:rPr>
        <w:t>Aggressive legal posture toward climate-focused shareholder activists and state regulators creates ongoing governance and reputational overhang that could affect ESG-oriented capital flows and regulatory relationships across multiple jurisdictions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ExxonMobil's core business — extracting, refining, and distributing physical hydrocarbons — is structurally immune to AI substitution; no AI tool can extract crude oil, run a refinery, or transport LNG. Rising global electricity demand from AI data centers is emerging as a modest secular tailwind for natural gas demand, a theme ExxonMobil is positioning to capture through Golden Pass LNG and gas-fired power initiatives [1][2]. AI Opportunity (0/1): ExxonMobil applies AI and supercomputing internally across seismic and subsurface analysis, but no quantified AI-attributable revenue stream was identified, and the company has not disclosed AI-specific financial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ExxonMobil Q1 and Q2 2026 Earnings Releases — $4.2B Q1 earnings, $14.5B Q2 earnings ($3.48/share), 2026 revenue outlook raised to $368.3B, investor.exxonmobil.com, 2026</w:t>
      </w:r>
    </w:p>
    <w:p>
      <w:pPr>
        <w:spacing w:before="20" w:after="20"/>
        <w:ind w:left="170"/>
      </w:pPr>
      <w:r>
        <w:rPr>
          <w:rFonts w:ascii="Calibri" w:hAnsi="Calibri"/>
          <w:b/>
          <w:color w:val="4A6B25"/>
          <w:sz w:val="15"/>
        </w:rPr>
        <w:t xml:space="preserve">2. </w:t>
      </w:r>
      <w:r>
        <w:rPr>
          <w:rFonts w:ascii="Calibri" w:hAnsi="Calibri"/>
          <w:b w:val="0"/>
          <w:color w:val="3A4A28"/>
          <w:sz w:val="17"/>
        </w:rPr>
        <w:t>ExxonMobil AI Strategy and Low Carbon Solutions — Arkansas direct lithium extraction, supercomputing/AI across value chain, Klover.ai, corporate.exxonmobil.com, 2025-2026</w:t>
      </w:r>
    </w:p>
    <w:p>
      <w:pPr>
        <w:spacing w:before="20" w:after="20"/>
        <w:ind w:left="170"/>
      </w:pPr>
      <w:r>
        <w:rPr>
          <w:rFonts w:ascii="Calibri" w:hAnsi="Calibri"/>
          <w:b/>
          <w:color w:val="4A6B25"/>
          <w:sz w:val="15"/>
        </w:rPr>
        <w:t xml:space="preserve">3. </w:t>
      </w:r>
      <w:r>
        <w:rPr>
          <w:rFonts w:ascii="Calibri" w:hAnsi="Calibri"/>
          <w:b w:val="0"/>
          <w:color w:val="3A4A28"/>
          <w:sz w:val="17"/>
        </w:rPr>
        <w:t>ExxonMobil ESG Litigation — California climate disclosure lawsuit, Arjuna Capital/Follow This shareholder proposal lawsuit, New Mexico orphaned well liability suit, ESG Dive, ESG Today, Sahm Capital,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TipRanks, Sure Dividend — XOM Key Statistics: Forward P/E 13.18x, D/E 16%, ROE 12.58%, 43-year dividend growth streak, 5yr dividend CAGR 2.20%,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