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AA</w:t>
      </w:r>
      <w:r>
        <w:rPr>
          <w:rFonts w:ascii="Calibri" w:hAnsi="Calibri"/>
          <w:b/>
          <w:color w:val="1A2010"/>
          <w:sz w:val="40"/>
        </w:rPr>
        <w:t xml:space="preserve">  Alcoa Corporation</w:t>
      </w:r>
    </w:p>
    <w:p>
      <w:pPr>
        <w:spacing w:after="120"/>
      </w:pPr>
      <w:r>
        <w:rPr>
          <w:rFonts w:ascii="Calibri" w:hAnsi="Calibri"/>
          <w:b/>
          <w:color w:val="6E8450"/>
          <w:sz w:val="18"/>
        </w:rPr>
        <w:t>GROWTH SLEEVE · 2026-10-13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Aluminum · NYSE · United States</w:t>
      </w:r>
    </w:p>
    <w:p>
      <w:pPr>
        <w:spacing w:after="80"/>
      </w:pPr>
      <w:r>
        <w:rPr>
          <w:rFonts w:ascii="Calibri" w:hAnsi="Calibri"/>
          <w:b w:val="0"/>
          <w:color w:val="3A4A28"/>
          <w:sz w:val="20"/>
        </w:rPr>
        <w:t>Alcoa Corporation is a global leader in bauxite mining, alumina refining, and aluminum production, operating across Australia, Brazil, Canada, Iceland, Norway, Spain, and the United States. Q2 2026 delivered record quarterly revenue of $3.97B (+31% YoY) driven by higher aluminum prices and increased shipments, with production records set at four smelters and one refinery. Net income was $407M. The company agreed to acquire South32's bauxite, alumina, and aluminum interests for approximately $4.1B, with closing expected H1 2027. Headquartered in Pittsburgh, Pennsylvania. Market cap ~$11B.</w:t>
      </w:r>
    </w:p>
    <w:p>
      <w:r>
        <w:rPr>
          <w:rFonts w:ascii="Calibri" w:hAnsi="Calibri"/>
          <w:b/>
          <w:color w:val="6E8450"/>
          <w:sz w:val="18"/>
        </w:rPr>
        <w:t>14,900 Employees · https://www.alcoa.com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Alcoa completed the Alumina Limited acquisition in 2024 to consolidate its upstream alumina position and set production records at four smelters and one refinery in Q2 2026, demonstrating operational execution [1]. The pivot of 10 idled industrial sites to AI data center operators targeting $500M-$1B in proceeds is creative asset monetization [2]. However, core aluminum operations are fundamentally unchanged — Alcoa produces the same commodity through the same processes. AI Deployment (1/2): Alcoa deployed Fairmarkit's AI-driven autonomous sourcing platform across procurement in the US, Brazil, and Canada, achieving measurable cost savings and cycle time improvements, and appointed a dedicated IT and Automation Solutions executive [2]. No AI products are sold externally. Market Share (1/2): Alcoa is the world's largest alumina producer and a top-five global aluminum smelter, with record Q2 2026 production demonstrating capacity leadership [1]. However, the company operates in a commodity market with limited pricing power versus Rio Tinto and China Hongqiao. Product Pipeline (1/2): The ELYSIS zero-carbon smelting JV with Rio Tinto represents breakthrough technology emitting oxygen instead of CO2, and the pending $4.1B South32 acquisition will significantly expand bauxite/alumina capacity [1][3]. ELYSIS commercial deployment is not expected before 2030. R&amp;D Intensity (1/1): Investment in ELYSIS and Refinery of the Future initiatives, plus the dedicated Chief Strategy &amp; Innovation Officer role, exceeds basic materials sector peers in R&amp;D commitment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Alcoa's purpose of 'turning raw potential into real progress, advancing sustainability and shaping a better future through aluminum' is clear and industry-specific, connecting commodity production to environmental stewardship [3]. The ELYSIS zero-carbon smelting investment validates the sustainability commitment. However, the mission is not deeply distinctive — most materials companies articulate similar sustainability positions. Community Impact (1/2): Alcoa achieved 86% renewable electricity across global smelting operations, earned top 1% EcoVadis sustainability rating, and maintained zero fatalities in safety record [3]. However, environmental violations in Western Australia (fined for unapproved forest clearing) and 101 Ohio River water pollution permit violations create significant tension between stated values and operational reality [3][4]. Employee Retention (0/2): Glassdoor culture rating of 3.9/5 with 85% recommending is adequate but not exceptional. Executive team rated in the bottom 20% on Comparably, with reviews citing competitive senior leadership dynamics [2]. No specific retention or tenure data available. Insider Buying (0/2): Recent insider activity consists exclusively of stock awards/grants rather than open-market purchases. No meaningful net insider buying with personal capital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Alcoa's balance sheet is strong with D/E of 29.9%, well below the 70% target (score 1.0), and Forward P/E of 7.35 is exceptionally low versus the 20 target (score 1.0) [4]. ROE of 18.2% exceeds the 15% target (score 1.0, 2x weight), and revenue growth YoY of 31.4% driven by record Q2 2026 revenue significantly exceeds the 10% target (score 1.0) [1]. However, two metrics severely drag the score: PEG ratio of 8.36 is far above the 3.0 floor (score 0.0, 2x weight), reflecting analyst expectations of near-zero long-term EPS growth from current peak-cycle earnings — the market sees Alcoa as a cyclical commodity producer at peak margins, not a secular grower [4]. Profit margin of 9.39% is below the 20% target (score 0.47), reflecting the inherently thin margins of commodity aluminum production. Estimated 5yr revenue CAGR of ~2% scores 0.47 against the 10% target (2x weight), confirming the cyclical growth challenge. Liquidity is exceptional at ~$191M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Alcoa demonstrates disciplined long-term thinking through the ELYSIS zero-carbon smelting technology JV with Rio Tinto and a 'value over volume' capital allocation strategy, but the company's commodity-driven cyclicality and environmental violations create tension between stated sustainability values and operational reality. The 138-year Alcoa heritage lends credibility to institutional endurance, though the current entity was only spun off in 2016. The South32 acquisition signals strategic ambition, but flat dividends and cyclical earnings patterns suggest the company optimizes for commodity cycles rather than a transcendent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'Advancing sustainability through aluminum' connects production to environmental stewardship, but it is fundamentally a commodity business purpose — Alcoa exists to mine bauxite and produce aluminum [3]. The ELYSIS zero-carbon smelting investment with Rio Tinto is admirable and could transform the industry's environmental footprint, but it serves the business model (lower costs, regulatory compliance, premium positioning) as much as a transcendent cause. Environmental violations including unapproved Western Australian forest clearing and 101 water pollution violations undermine the sustainability narrative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Alcoa's zero fatalities safety record and Glassdoor rating of 3.9/5 with 85% recommending suggest a functional, safety-conscious organizational culture rooted in Paul O'Neill's legendary safety transformation [2]. Stable operations across multiple countries with 14,900 employees provide organizational stability. However, the Comparably bottom-20% executive team rating indicates trust deficits at the management level, and the 2023 executive leadership restructuring (two senior executives departing) suggests some organizational turbulence.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The ELYSIS zero-carbon smelting JV with Rio Tinto — Alcoa's largest competitor — exemplifies Sinek's worthy rival concept. Instead of competing to destroy a rival, Alcoa collaborated with its biggest competitor to advance the entire industry toward carbon-free aluminum production [3]. This partnership reflects an infinite-game mindset where improving the industry takes precedence over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Converting idled smelter sites to AI data center facilities demonstrates adaptive thinking — transforming stranded industrial assets with high-voltage grid connections into high-value infrastructure for the AI era [2]. The Alumina Limited acquisition consolidated the upstream position, the South32 deal will expand scale, and the ELYSIS technology positions Alcoa for a potential industry transformation. These are meaningful adaptations, but the core business remains aluminum production with no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Alcoa's 'value over volume' strategy demonstrates disciplined capacity management — maintaining conservative balance sheet (D/E 30%) in an industry prone to boom-cycle over-investment, redeeming debt despite strong earnings, and investing in the $4.1B South32 acquisition to strengthen the upstream portfolio [1]. The ELYSIS zero-carbon smelting investment is a costly long-term bet with no commercial payoff before 2030 [3]. However, the $0.10/quarter flat dividend since inception ($0.40/year, 0.96% yield) suggests conservative capital return rather than bold shareholder alignment.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Alcoa at $41.67 with 7.35x forward earnings delivered record Q2 2026 revenue of $3.97B (+31% YoY) and net income of $407M, setting production records at four smelters and one refinery as aluminum prices exceeded $4,000/mt [1]. The balance sheet is clean with D/E of 29.9%, $1.35B in cash, and active debt reduction. ROE of 18.2% exceeds the 15% target, and the Forward P/E of 7.35 represents deep value for a company with $960M in trailing FCF. The pending $4.1B South32 acquisition will significantly expand bauxite and alumina capacity, strengthening Alcoa's position as the world's largest alumina producer. The data center brownfield site conversion targeting $500M-$1B in proceeds could unlock significant non-core asset value, and the ELYSIS zero-carbon smelting JV with Rio Tinto positions Alcoa for premium 'green aluminum' pricing as global carbon pricing expands [2][3].</w:t>
      </w:r>
    </w:p>
    <w:p>
      <w:pPr>
        <w:spacing w:after="120"/>
      </w:pPr>
      <w:r>
        <w:rPr>
          <w:rFonts w:ascii="Calibri" w:hAnsi="Calibri"/>
          <w:b w:val="0"/>
          <w:color w:val="3A4A28"/>
          <w:sz w:val="20"/>
        </w:rPr>
        <w:t>The bear case centers on aluminum's inescapable cyclicality and the market's verdict that peak earnings are temporary. The PEG ratio of 8.36 reflects analyst expectations of near-zero long-term EPS growth from current elevated levels — the market sees Alcoa at peak cycle, and the stock has already declined 18.6% from $51.20 to $41.67 despite record results [4]. Q1 2026 alumina segment EBITDA swung to a $40M loss as alumina prices plunged, and the Pinjarra refinery shutdown from Cyclone Narelle forced production guidance cuts, demonstrating the business model's extreme vulnerability to commodity and operational shocks [1]. A global recession could push aluminum prices below $2,500/mt, compressing the 9.39% profit margin toward breakeven. The $4.1B South32 acquisition increases leverage and integration risk. Environmental liabilities remain material: Western Australian forest clearing fines and 101 water pollution violations represent ongoing financial and reputational risk [4]. The flat $0.40 annual dividend (0.96% yield) provides negligible income, and zero dividend growth since initiation signals minimal commitment to shareholder returns. The Inspire Impact Score of -49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Q2 2026 production at four smelters with aluminum prices above $4,000/mt and 11% lower adjusted operating costs, combined with $960M trailing FCF and 7.35x forward earnings offering deep cyclical value [1][4]</w:t>
      </w:r>
    </w:p>
    <w:p>
      <w:pPr>
        <w:spacing w:before="40" w:after="40"/>
        <w:ind w:left="283"/>
      </w:pPr>
      <w:r>
        <w:rPr>
          <w:rFonts w:ascii="Calibri" w:hAnsi="Calibri"/>
          <w:b/>
          <w:color w:val="4A6B25"/>
          <w:sz w:val="20"/>
        </w:rPr>
        <w:t xml:space="preserve">2. </w:t>
      </w:r>
      <w:r>
        <w:rPr>
          <w:rFonts w:ascii="Calibri" w:hAnsi="Calibri"/>
          <w:b w:val="0"/>
          <w:color w:val="3A4A28"/>
          <w:sz w:val="20"/>
        </w:rPr>
        <w:t>South32 acquisition ($4.1B, closing H1 2027) strengthening Alcoa's position as the world's largest alumina producer, plus data center brownfield site sales targeting $500M-$1B from converting idled industrial sites to AI infrastructure [1][2]</w:t>
      </w:r>
    </w:p>
    <w:p>
      <w:pPr>
        <w:spacing w:before="40" w:after="40"/>
        <w:ind w:left="283"/>
      </w:pPr>
      <w:r>
        <w:rPr>
          <w:rFonts w:ascii="Calibri" w:hAnsi="Calibri"/>
          <w:b/>
          <w:color w:val="4A6B25"/>
          <w:sz w:val="20"/>
        </w:rPr>
        <w:t xml:space="preserve">3. </w:t>
      </w:r>
      <w:r>
        <w:rPr>
          <w:rFonts w:ascii="Calibri" w:hAnsi="Calibri"/>
          <w:b w:val="0"/>
          <w:color w:val="3A4A28"/>
          <w:sz w:val="20"/>
        </w:rPr>
        <w:t>ELYSIS zero-carbon smelting technology JV with Rio Tinto positioning Alcoa for premium 'green aluminum' pricing and regulatory advantages as carbon pricing expands globally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Aluminum price cyclicality is the dominant risk — PEG of 8.36 reflects market consensus that current $4.81 EPS represents peak-cycle earnings with near-zero long-term growth, and the stock has fallen 18.6% from August levels despite record quarterly results [4]</w:t>
      </w:r>
    </w:p>
    <w:p>
      <w:pPr>
        <w:spacing w:before="40" w:after="40"/>
        <w:ind w:left="283"/>
      </w:pPr>
      <w:r>
        <w:rPr>
          <w:rFonts w:ascii="Calibri" w:hAnsi="Calibri"/>
          <w:b/>
          <w:color w:val="4A6B25"/>
          <w:sz w:val="20"/>
        </w:rPr>
        <w:t xml:space="preserve">2. </w:t>
      </w:r>
      <w:r>
        <w:rPr>
          <w:rFonts w:ascii="Calibri" w:hAnsi="Calibri"/>
          <w:b w:val="0"/>
          <w:color w:val="3A4A28"/>
          <w:sz w:val="20"/>
        </w:rPr>
        <w:t>Profit margin of 9.39% leaves minimal buffer in a commodity downturn — a recession-driven aluminum price decline to $2,500/mt would push margins toward breakeven, and the Pinjarra refinery disruption from Cyclone Narelle demonstrates operational fragility [1]</w:t>
      </w:r>
    </w:p>
    <w:p>
      <w:pPr>
        <w:spacing w:before="40" w:after="40"/>
        <w:ind w:left="283"/>
      </w:pPr>
      <w:r>
        <w:rPr>
          <w:rFonts w:ascii="Calibri" w:hAnsi="Calibri"/>
          <w:b/>
          <w:color w:val="4A6B25"/>
          <w:sz w:val="20"/>
        </w:rPr>
        <w:t xml:space="preserve">3. </w:t>
      </w:r>
      <w:r>
        <w:rPr>
          <w:rFonts w:ascii="Calibri" w:hAnsi="Calibri"/>
          <w:b w:val="0"/>
          <w:color w:val="3A4A28"/>
          <w:sz w:val="20"/>
        </w:rPr>
        <w:t>Environmental litigation exposure — Western Australian forest clearing fines, 101 Ohio River water pollution violations, and multiple Superfund cleanup obligations create material contingent liabilities and reputational risk in an ESG-conscious era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Aluminum production is a physical-world industrial process that AI structurally cannot substitute — mining bauxite, refining alumina, and smelting aluminum require massive capital infrastructure, complex metallurgical processes, and enormous energy inputs that no software can replicate [1]. AI poses zero substitution risk to Alcoa's core business. In fact, AI data center construction increases demand for aluminum through cooling systems, structural components, and power infrastructure. Alcoa is directly benefiting from AI infrastructure buildout by converting 10 idled industrial sites with high-voltage grid connections into facilities for hyperscale data center operators, targeting $500M-$1B in proceeds [2]. Record production at four smelters in Q2 2026 demonstrates the physical-world capacity that is immune to digital disruption. AI Opportunity (0/1): Alcoa does not generate direct AI revenue — the company produces aluminum and refines alumina. The data center site leasing represents infrastructure monetization, and the Fairmarkit procurement AI is an internal cost-saving tool, not customer-facing AI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Alcoa Corporation Q2 2026 Results — Record Revenue $3.97B (+31% YoY), Net Income $407M, Production Records at 4 Smelters, South32 Acquisition $4.1B, Alumina Guidance Cut (Pinjarra/Cyclone Narelle), July 2026</w:t>
      </w:r>
    </w:p>
    <w:p>
      <w:pPr>
        <w:spacing w:before="20" w:after="20"/>
        <w:ind w:left="170"/>
      </w:pPr>
      <w:r>
        <w:rPr>
          <w:rFonts w:ascii="Calibri" w:hAnsi="Calibri"/>
          <w:b/>
          <w:color w:val="4A6B25"/>
          <w:sz w:val="15"/>
        </w:rPr>
        <w:t xml:space="preserve">2. </w:t>
      </w:r>
      <w:r>
        <w:rPr>
          <w:rFonts w:ascii="Calibri" w:hAnsi="Calibri"/>
          <w:b w:val="0"/>
          <w:color w:val="3A4A28"/>
          <w:sz w:val="17"/>
        </w:rPr>
        <w:t>Alcoa AI Data Center Infrastructure Pivot — 10 Brownfield Sites Targeting $500M-$1B Proceeds, Fairmarkit AI Procurement Deployment, Leadership Restructuring (Bacchi, Beerman), 2023-2026</w:t>
      </w:r>
    </w:p>
    <w:p>
      <w:pPr>
        <w:spacing w:before="20" w:after="20"/>
        <w:ind w:left="170"/>
      </w:pPr>
      <w:r>
        <w:rPr>
          <w:rFonts w:ascii="Calibri" w:hAnsi="Calibri"/>
          <w:b/>
          <w:color w:val="4A6B25"/>
          <w:sz w:val="15"/>
        </w:rPr>
        <w:t xml:space="preserve">3. </w:t>
      </w:r>
      <w:r>
        <w:rPr>
          <w:rFonts w:ascii="Calibri" w:hAnsi="Calibri"/>
          <w:b w:val="0"/>
          <w:color w:val="3A4A28"/>
          <w:sz w:val="17"/>
        </w:rPr>
        <w:t>Alcoa ESG Profile — 86% Renewable Electricity, ELYSIS Zero-Carbon Smelting JV with Rio Tinto, EcoVadis Top 1%, Environmental Violations (WA Forest Clearing, 101 Water Permits),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AA Key Statistics: Stock Price $41.67, Forward P/E 7.35, PEG 8.36, ROE 18.23%, D/E 29.92%, Profit Margin 9.39%, Avg Volume 4,587,965, Dividend Yield 0.96%,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