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ABVE</w:t>
      </w:r>
      <w:r>
        <w:rPr>
          <w:rFonts w:ascii="Calibri" w:hAnsi="Calibri"/>
          <w:b/>
          <w:color w:val="1A2010"/>
          <w:sz w:val="40"/>
        </w:rPr>
        <w:t xml:space="preserve">  Above Food Ingredients Inc.</w:t>
      </w:r>
    </w:p>
    <w:p>
      <w:pPr>
        <w:spacing w:after="120"/>
      </w:pPr>
      <w:r>
        <w:rPr>
          <w:rFonts w:ascii="Calibri" w:hAnsi="Calibri"/>
          <w:b/>
          <w:color w:val="6E8450"/>
          <w:sz w:val="18"/>
        </w:rPr>
        <w:t>GROWTH SLEEVE · 2026-09-15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OTC · Canada</w:t>
      </w:r>
    </w:p>
    <w:p>
      <w:pPr>
        <w:spacing w:after="80"/>
      </w:pPr>
      <w:r>
        <w:rPr>
          <w:rFonts w:ascii="Calibri" w:hAnsi="Calibri"/>
          <w:b w:val="0"/>
          <w:color w:val="3A4A28"/>
          <w:sz w:val="20"/>
        </w:rPr>
        <w:t>Above Food Ingredients is a Canadian regenerative ingredient company operating through two segments: Disruptive Agriculture (grain origination, processing, and sale of regeneratively grown crops) and Consumer Packaged Goods (proprietary and private-label consumer product formulations). Founded by fourth-generation farmer Lionel Kambeitz with 40+ years of agricultural experience, the company has undergone strategic restructuring including subsidiary receiverships and Nasdaq delisting. Trading suspended from Nasdaq June 2, 2026; securities now quoted on the OTC market under symbol ABVEE. Headquartered in Regina, Saskatchewan.</w:t>
      </w:r>
    </w:p>
    <w:p>
      <w:r>
        <w:rPr>
          <w:rFonts w:ascii="Calibri" w:hAnsi="Calibri"/>
          <w:b/>
          <w:color w:val="6E8450"/>
          <w:sz w:val="18"/>
        </w:rPr>
        <w:t>https://abovefood.com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Above Food has failed to deliver meaningful product launches or transformations -- revenue declined approximately 43% YoY from $368M (FY2024) to approximately $211M (TTM), and the company placed Purely Canada Food Corp. subsidiaries into receivership in March 2025, eliminating a core operating segment [1][2]. The company was delisted from Nasdaq in June 2026. The proposed merger with Palm Global Technologies for 'Agri-Tech and Fin-Tech' capabilities is aspirational with no shipped products. AI Deployment (0/2): No evidence of AI-powered products or quantified AI efficiencies. The company partnered with NRGene on AI-based genomic assets for seed selection, but no commercial outcomes or revenue have materialized [3]. Market Share (1/2): Above Food holds a niche position as one of North America's larger chickpea and pulse ingredient suppliers with vertically integrated seed-to-consumer operations spanning regenerative agriculture, seed genetics, ingredient processing, and branded consumer goods [1][3]. The pet food ingredients expansion to approximately $110M via acquisition demonstrates category breadth. Product Pipeline (0/2): No next-generation products with specific timelines announced; forward guidance focuses on profitability through cost elimination rather than product innovation [1]. R&amp;D Intensity (1/1): The regenerative agriculture model and AI-genomics partnership with NRGene represent above-average technical ambition for a micro-cap food ingredients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Lionel Kambeitz founded Above Food 'with the intent to drive positive change across the entire food chain,' and as a fourth-generation farmer with roots tracing to KF Kambeitz Farms Inc. established in 1899, the regenerative agriculture mission has personal authenticity [3]. The vision of vertically integrated plant-based food with full traceability connects the company's work to environmental sustainability. However, subsidiary receiverships and delisting undermine the claim that purpose drives strategy. Community Impact (1/2): The regenerative agriculture model inherently supports farming communities, soil health, and sustainable food systems in Saskatchewan and beyond. The company highlights environmental sustainability and the pet food expansion to $110M demonstrates category commitment, but no specific charitable programs or quantified community investment were identified [3]. Employee Retention (0/2): No employee data reported. Subsidiary receiverships, Nasdaq delisting proceedings, and delayed audit filings suggest severe organizational instability rather than retention strength [1][2]. Insider Buying (0/2): No evidence of meaningful open-market insider buying. Founder Kambeitz maintains equity through his founding position but no open-market purchases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Stock price of $0.06 on OTC markets means even with substantial volume, daily dollar volume falls well below the $1,000,000 threshold. Infrastructure score forced to 0 regardless of other metrics [4]. Underlying financials are severely distressed: TTM revenue of approximately $211M declining 43% YoY, with net loss and profit margin of approximately -23.4% [1]. No trailing or forward P/E available as the company is deeply unprofitable. Market cap collapsed from $45.9M (March 2026) to $4.1M (July 2026), a -91% decline in four months [4]. The Nasdaq delisted the stock on June 2, 2026 after failure to file Form 20-F for FY2025 -- the company now trades on OTC as ABVEE [2]. Management's FY2026 profit guidance of $40M+ and claim of eliminating all corporate debt lack credibility without audited financials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Above Food has a genuine regenerative agriculture vision rooted in 125 years of Kambeitz family farming heritage, but the company is playing a survival game rather than an infinite game. Subsidiary receiverships, Nasdaq delisting, delayed audit filings, and a proposed merger with an Agri-Tech/Fin-Tech company suggest reactive decision-making driven by financial distress rather than purpose-driven strategy. The company's cause is shifting based on survival needs rather than deepening through consistent execution.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Above Food's regenerative agriculture vision -- 'driving positive change across the entire food chain' grounded in four generations of Kambeitz family farming since 1899 -- is a meaningful purpose that transcends pure profit [3]. However, the cause has not been validated by execution: revenue is declining 43%, subsidiaries are in receivership, the stock is delisted, and the strategic pivot to Agri-Tech/Fin-Tech via Palm Global suggests the cause is being abandoned under financial pressure. A company fighting for survival is not advancing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receivership of Purely Canada subsidiaries, delayed audit filings, Nasdaq delisting, and proposed CEO transition from Kambeitz to Peter Knez via Palm Global merger signal severe organizational instability [1][2]. No evidence of employee empowerment, cultural strength, or retention data. The company appears to be in crisis mode with significant leadership and operational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Above Food acknowledging competitors' strengths or using competitive dynamics for self-improvement. The company positions itself as a unique regenerative agriculture player rather than engaging with the competitive landscape constructively [1][3]. CEO Kambeitz has discussed capturing growth in the 'private-label movement' but this is market positioning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Above Food has shown willingness to make dramatic strategic shifts -- placing core subsidiaries into receivership, eliminating corporate debt, and pursuing a transformative merger with Palm Global Technologies to add Agri-Tech/Fin-Tech capabilities [2][3]. The expansion into plant-based pet food ingredients ($110M segment) also demonstrates category flexibility. However, these pivots appear driven by financial distress rather than proactive strategic vision in service of the regenerative agriculture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Kambeitz made the difficult decision to consent to receivership of Purely Canada subsidiaries and eliminate all corporate debt, accepting short-term revenue destruction for potential long-term viability [2]. Raising FY2026 profit guidance to $40M+ after restructuring shows confidence. However, delayed audit filings and Nasdaq delisting suggest these decisions may have been forced by circumstances rather than proactively chosen from a position of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Above Food Ingredients is a micro-cap ($4.1M market cap) Canadian regenerative agriculture company in acute distress but with legitimate agricultural assets. The company's vertically integrated seed-to-consumer platform spans regenerative agriculture (Kambeitz family farming heritage since 1899), seed genetics, pulse ingredient processing, and branded consumer goods including a $110M pet food ingredients segment [3]. Management has raised FY2026 profit guidance to $40M+ from $30M and claims to have eliminated all corporate debt through restructuring [1]. If management delivers on profitability and resolves audit/listing issues, the stock offers extreme upside from a $4.1M market cap against $211M TTM revenue. The Inspire Impact Score of 49 (ALIGNED) reflects genuine positive ESG attributes in ethical supply chain management, low ecological impact, and materials efficiency.</w:t>
      </w:r>
    </w:p>
    <w:p>
      <w:pPr>
        <w:spacing w:after="120"/>
      </w:pPr>
      <w:r>
        <w:rPr>
          <w:rFonts w:ascii="Calibri" w:hAnsi="Calibri"/>
          <w:b w:val="0"/>
          <w:color w:val="3A4A28"/>
          <w:sz w:val="20"/>
        </w:rPr>
        <w:t>The bear case is overwhelming. Revenue declined approximately 43% YoY with deeply negative profit margins (-23.4%), and no audited financials have been filed for FY2025 -- the Nasdaq delisted the stock on June 2, 2026, and it now trades on OTC at $0.06 per share [1][2][4]. Market cap collapsed 91% in four months from $45.9M to $4.1M. The $40M+ FY2026 profit guidance lacks credibility given no audited financials and ongoing OTC trading. The proposed Palm Global Technologies merger raises questions about strategic coherence -- pivoting from regenerative agriculture to 'Agri-Tech and Fin-Tech' suggests a company grasping for any lifeline. Subsidiary receiverships and audit delays create severe transparency risk. Investors face asymmetric downside -- the company may cease to exist as a publicly traded entity before any turnaround materializes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delayed FY2025 audit and potential relisting from OTC back to Nasdaq, which would restore institutional access and liquidity [1][2]</w:t>
      </w:r>
    </w:p>
    <w:p>
      <w:pPr>
        <w:spacing w:before="40" w:after="40"/>
        <w:ind w:left="283"/>
      </w:pPr>
      <w:r>
        <w:rPr>
          <w:rFonts w:ascii="Calibri" w:hAnsi="Calibri"/>
          <w:b/>
          <w:color w:val="4A6B25"/>
          <w:sz w:val="20"/>
        </w:rPr>
        <w:t xml:space="preserve">2. </w:t>
      </w:r>
      <w:r>
        <w:rPr>
          <w:rFonts w:ascii="Calibri" w:hAnsi="Calibri"/>
          <w:b w:val="0"/>
          <w:color w:val="3A4A28"/>
          <w:sz w:val="20"/>
        </w:rPr>
        <w:t>FY2026 profit guidance of $40M+ -- if delivered, would represent a transformative turnaround and dramatic rerating from $4.1M market cap against $211M revenue [1]</w:t>
      </w:r>
    </w:p>
    <w:p>
      <w:pPr>
        <w:spacing w:before="40" w:after="40"/>
        <w:ind w:left="283"/>
      </w:pPr>
      <w:r>
        <w:rPr>
          <w:rFonts w:ascii="Calibri" w:hAnsi="Calibri"/>
          <w:b/>
          <w:color w:val="4A6B25"/>
          <w:sz w:val="20"/>
        </w:rPr>
        <w:t xml:space="preserve">3. </w:t>
      </w:r>
      <w:r>
        <w:rPr>
          <w:rFonts w:ascii="Calibri" w:hAnsi="Calibri"/>
          <w:b w:val="0"/>
          <w:color w:val="3A4A28"/>
          <w:sz w:val="20"/>
        </w:rPr>
        <w:t>Palm Global Technologies merger completion, potentially adding Agri-Tech/Fin-Tech capabilities and new revenue streams to the regenerative agriculture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executed June 2026 for failure to file Form 20-F -- OTC trading at $0.06 eliminates institutional access and creates permanent liquidity risk [2][4]</w:t>
      </w:r>
    </w:p>
    <w:p>
      <w:pPr>
        <w:spacing w:before="40" w:after="40"/>
        <w:ind w:left="283"/>
      </w:pPr>
      <w:r>
        <w:rPr>
          <w:rFonts w:ascii="Calibri" w:hAnsi="Calibri"/>
          <w:b/>
          <w:color w:val="4A6B25"/>
          <w:sz w:val="20"/>
        </w:rPr>
        <w:t xml:space="preserve">2. </w:t>
      </w:r>
      <w:r>
        <w:rPr>
          <w:rFonts w:ascii="Calibri" w:hAnsi="Calibri"/>
          <w:b w:val="0"/>
          <w:color w:val="3A4A28"/>
          <w:sz w:val="20"/>
        </w:rPr>
        <w:t>Revenue declined approximately 43% YoY with -23.4% profit margin and no audited financials for FY2025, creating severe transparency risk and undermining the $40M+ profit guidance [1]</w:t>
      </w:r>
    </w:p>
    <w:p>
      <w:pPr>
        <w:spacing w:before="40" w:after="40"/>
        <w:ind w:left="283"/>
      </w:pPr>
      <w:r>
        <w:rPr>
          <w:rFonts w:ascii="Calibri" w:hAnsi="Calibri"/>
          <w:b/>
          <w:color w:val="4A6B25"/>
          <w:sz w:val="20"/>
        </w:rPr>
        <w:t xml:space="preserve">3. </w:t>
      </w:r>
      <w:r>
        <w:rPr>
          <w:rFonts w:ascii="Calibri" w:hAnsi="Calibri"/>
          <w:b w:val="0"/>
          <w:color w:val="3A4A28"/>
          <w:sz w:val="20"/>
        </w:rPr>
        <w:t>Market cap of $4.1M (down 91% from March 2026) represents a company at existential risk -- permanent capital loss is a realistic outcome for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Above Food's core business -- growing, processing, and selling physical agricultural ingredients and consumer food products -- is structurally protected from AI disruption [1][3]. Regenerative farming, grain processing, pulse ingredient manufacturing, and physical food production involve biological and physical-world operations that AI cannot substitute. Agricultural supply chains require land, weather management, logistics infrastructure, and food safety regulatory compliance that are inherently resistant to digital displacement. The vertically integrated seed-to-consumer model creates additional physical-world complexity that AI tools cannot replicate. AI Opportunity (0/1): No AI-generated revenue. The NRGene genomics partnership represents potential future AI application in seed selection and crop optimization, but no commercial products or quantified efficiencies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Above Food Ingredients FY2026 profit guidance update ($40M+ raised from $30M) and FY2025 audit status -- StockTitan, December 2025</w:t>
      </w:r>
    </w:p>
    <w:p>
      <w:pPr>
        <w:spacing w:before="20" w:after="20"/>
        <w:ind w:left="170"/>
      </w:pPr>
      <w:r>
        <w:rPr>
          <w:rFonts w:ascii="Calibri" w:hAnsi="Calibri"/>
          <w:b/>
          <w:color w:val="4A6B25"/>
          <w:sz w:val="15"/>
        </w:rPr>
        <w:t xml:space="preserve">2. </w:t>
      </w:r>
      <w:r>
        <w:rPr>
          <w:rFonts w:ascii="Calibri" w:hAnsi="Calibri"/>
          <w:b w:val="0"/>
          <w:color w:val="3A4A28"/>
          <w:sz w:val="17"/>
        </w:rPr>
        <w:t>Above Food Nasdaq delisting determination -- trading suspended June 2, 2026; securities quoted on OTC market as ABVEE -- Benzinga, TipRanks, June 2026</w:t>
      </w:r>
    </w:p>
    <w:p>
      <w:pPr>
        <w:spacing w:before="20" w:after="20"/>
        <w:ind w:left="170"/>
      </w:pPr>
      <w:r>
        <w:rPr>
          <w:rFonts w:ascii="Calibri" w:hAnsi="Calibri"/>
          <w:b/>
          <w:color w:val="4A6B25"/>
          <w:sz w:val="15"/>
        </w:rPr>
        <w:t xml:space="preserve">3. </w:t>
      </w:r>
      <w:r>
        <w:rPr>
          <w:rFonts w:ascii="Calibri" w:hAnsi="Calibri"/>
          <w:b w:val="0"/>
          <w:color w:val="3A4A28"/>
          <w:sz w:val="17"/>
        </w:rPr>
        <w:t>Above Food CEO Lionel Kambeitz leadership profile, Palm Global merger, NRGene AI-genomics partnership, pet food expansion -- Just-Food, The Org,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ABVE key statistics, $0.06 stock price, $4.1M market cap, OTC trading,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