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ACAD</w:t>
      </w:r>
      <w:r>
        <w:rPr>
          <w:rFonts w:ascii="Calibri" w:hAnsi="Calibri"/>
          <w:b/>
          <w:color w:val="1A2010"/>
          <w:sz w:val="40"/>
        </w:rPr>
        <w:t xml:space="preserve">  ACADIA Pharmaceuticals Inc.</w:t>
      </w:r>
    </w:p>
    <w:p>
      <w:pPr>
        <w:spacing w:after="120"/>
      </w:pPr>
      <w:r>
        <w:rPr>
          <w:rFonts w:ascii="Calibri" w:hAnsi="Calibri"/>
          <w:b/>
          <w:color w:val="6E8450"/>
          <w:sz w:val="18"/>
        </w:rPr>
        <w:t>GROWTH SLEEVE · 2026-09-16 · Inspire: 22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ACADIA Pharmaceuticals is a biopharmaceutical company focused on developing and commercializing medicines for neurological and rare diseases. Its two commercial products are NUPLAZID (pimavanserin) for Parkinson's disease psychosis and DAYBUE (trofinetide) for Rett syndrome, including the recently launched DAYBUE STIX formulation. Pipeline includes remlifanserin for Alzheimer's disease psychosis (Phase 2 readout expected late 2026) and ACP-211 for major depressive disorder. Q2 2026 delivered 17% adjusted revenue growth, and 2026 guidance was raised to $1.24-$1.30B.</w:t>
      </w:r>
    </w:p>
    <w:p>
      <w:r>
        <w:rPr>
          <w:rFonts w:ascii="Calibri" w:hAnsi="Calibri"/>
          <w:b/>
          <w:color w:val="6E8450"/>
          <w:sz w:val="18"/>
        </w:rPr>
        <w:t>796 Employees · https://www.acadia.com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ACADIA has successfully commercialized two first-in-class neurological treatments — NUPLAZID (2016, Parkinson's disease psychosis) and DAYBUE (2023, Rett syndrome) — reaching $1.07B in FY2025 revenue and crossing the $1B milestone for the first time [1]. The recent DAYBUE STIX formulation launch provides a meaningful product line extension driving 20% DAYBUE growth. However, the Q1 2026 profitability collapse (net income $3.64M vs $391M full-year 2025) signals a structural cost inflection as R&amp;D investment ramps. AI Deployment (1/2): CEO Catherine Owen Adams stated 'we are absolutely using AI' for clinical trial patient recruitment, principal investigator selection, and study design [2]. CIDO Scott Cenci was hired to lead AI integration across commercial analytics, clinical operations, and regulatory functions. These are operational deployments generating efficiency for the lean 796-person organization but without quantified financial impact. Market Share (2/2): NUPLAZID is the only FDA-approved treatment for Parkinson's disease psychosis, and DAYBUE is the only FDA-approved treatment for Rett syndrome — two unchallenged monopoly positions in underserved neurological conditions [1]. Product Pipeline (1/2): Remlifanserin Phase 2 readout for Alzheimer's disease psychosis expected late 2026 is the key near-term catalyst, but the EU negative regulatory opinion on trofinetide represents a significant setback to the global expansion thesis. DAYBUE STIX launched recently. R&amp;D Intensity (0/1): R&amp;D spending is at industry average for a mid-cap biotech; not top-quartile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ACADIA's purpose of 'advancing breakthroughs in neuroscience to elevate life' is clear and identifies the therapeutic focus, but remains a marketing tagline rather than a deeply distinctive purpose — interchangeable with many biotech peers in the neuroscience space [2]. Community Impact (1/2): ACADIA supports patient access and caregiver communities for Parkinson's and Rett syndrome patients through advocacy programs, and the San Diego headquarters achieved Gold Level LEED certification [3]. The company's focus on ultra-rare diseases (Rett syndrome, ~15,000 U.S. patients) itself represents a form of community commitment. However, specific charitable dollar amounts are not prominently disclosed. Employee Retention (1/2): Glassdoor rating of 4.1/5 reflects generally positive employee sentiment, with recent reviews praising CEO Owen Adams' transparency and strategic direction [2]. The hire of Carl Segerstrom as Chief People Officer signals intentional culture investment. However, R&amp;D Head Elizabeth Thompson's retirement adds transition uncertainty during critical pipeline milestones. Insider Buying (1/2): Prior screens identified net insider buying of 20,530 shares across 10 purchase transactions — modest but directionally positive executive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ACADIA's balance sheet is pristine with D/E of just 5.65%, reflecting near-zero debt against substantial cash reserves [4]. Trailing ROE of 35.7% and profit margin of 33.4% reflect the high-margin pharmaceutical monopoly economics of NUPLAZID and DAYBUE [4]. Revenue growth remains healthy: Q2 2026 delivered 17% adjusted YoY growth, guidance was raised to $1.24-$1.30B, and the 5-year revenue CAGR is approximately 19% [1]. Forward P/E of 30.07x is above the 20x target (scoring 0.748), reflecting uncertainty about whether trailing profitability can be maintained as R&amp;D investment ramps. PEG of 50.86 reflects the disconnect between revenue growth and near-term EPS compression — this metric scores 0 with 2x weight, the primary infrastructure drag. Despite this, the strong trailing fundamentals (ROE, margin, balance sheet) and revenue growth carry the score. Liquidity floor cleared at ~$44.7M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ACADIA shows genuine purpose in addressing underserved neurological conditions with monopoly-position treatments, and the pursuit of ultra-rare Rett syndrome when larger markets were available demonstrates willingness to invest where the need is greatest. However, the company is commercially young (NUPLAZID launched 2016, DAYBUE 2023), the EU trofinetide rejection tests institutional resilience, and the R&amp;D leadership transition adds uncertainty during a critical pipeline period. CEO Owen Adams' five-year roadmap provides strategic direction but has not yet been validated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ACADIA's focus on neuropsychiatric and rare diseases — conditions often neglected by larger pharma — represents a genuine Just Cause that connects commercial activity to patient impact [1][2]. NUPLAZID was the first approved treatment for Parkinson's disease psychosis, and DAYBUE the first for Rett syndrome, demonstrating willingness to pursue underserved populations where the Just Cause is validated by action. However, the cause has not been tested through multi-decade consistency as the company has only been commercially relevant since 2016, and the EU trofinetide rejection tests whether the global patient access mission can withstand regulatory setbacks.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4.1/5 with improving sentiment — recent reviews praise CEO Owen Adams for transparency and clear strategic goals, while the hire of Chief People Officer Carl Segerstrom signals intentional culture investment for 'a high-performing innovative culture focused on experimentation, agility, collaboration' [2]. The lean 796-person organization allows closer team dynamics. However, R&amp;D Head Elizabeth Thompson's retirement during critical Phase 2 readouts and mixed historical reviews citing prior 'toxic culture' introduce uncertainty about organizational trust depth.</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ACADIA frames its strategy around improving patient outcomes in underserved neurological conditions rather than destroying competitors. The partnership model — licensing trofinetide from Neuren Pharmaceuticals, collaboration with Stoke Therapeutics for RNA-based medicines — demonstrates willingness to learn from and work with external expertise rather than competing on every front [1][2]. Competition is framed as serving patients, not winning market share wars.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ACADIA has incrementally expanded from a single-product company (NUPLAZID, 2016) to a two-product rare disease platform with DAYBUE (2023) and the DAYBUE STIX formulation, but this represents adjacency expansion within neuroscience rather than transformative reinvention. The company remains narrowly focused on neuropsychiatric and neurorare conditions. Too young and small to have faced a true existential pivot test. The EU trofinetide rejection may eventually force strategic adaptation, but no transformative response has materialized yet.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ACADIA's pursuit of Rett syndrome (ultra-rare, ~15,000 U.S. patients) when larger market opportunities existed demonstrates willingness to invest in underserved populations in service of the neuroscience mission [1]. The board brought in CEO Owen Adams with deep BMS/J&amp;J commercial experience to professionalize operations and execute a five-year growth roadmap. Management raised 2026 guidance to $1.24-$1.30B despite headwinds, signaling confidence. However, the company has not yet demonstrated a sustained pattern of costly long-term bets across multiple business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ACADIA's two monopoly-position franchises — NUPLAZID (only approved Parkinson's psychosis treatment, $167M Q1 revenue) and DAYBUE (only approved Rett syndrome treatment, $101M Q1 revenue growing 20% YoY) — drove Q2 2026 revenue growth of 17% adjusted, prompting a guidance raise to $1.24-$1.30B for FY2026 [1]. The balance sheet is a fortress with D/E of just 5.65%, trailing ROE of 35.7%, and profit margin of 33.4% reflecting the high-margin pharmaceutical monopoly economics [4]. At $26.76 (12x trailing earnings), the stock offers potential value relative to the two unchallenged market positions and the late-2026 remlifanserin Phase 2 readout for Alzheimer's disease psychosis — a significantly larger addressable market than current indications. CEO Owen Adams brings 9 new product launches from BMS/J&amp;J to guide commercial execution, the DAYBUE STIX formulation is accelerating Rett syndrome patient uptake, and CIDO Scott Cenci is deploying AI across operations [2].</w:t>
      </w:r>
    </w:p>
    <w:p>
      <w:pPr>
        <w:spacing w:after="120"/>
      </w:pPr>
      <w:r>
        <w:rPr>
          <w:rFonts w:ascii="Calibri" w:hAnsi="Calibri"/>
          <w:b w:val="0"/>
          <w:color w:val="3A4A28"/>
          <w:sz w:val="20"/>
        </w:rPr>
        <w:t>The bear case centers on forward earnings compression, pipeline binary risk, and a narrow product franchise. Forward PE of 30.07x (versus 12x trailing) signals analyst expectations of significant profitability deterioration as R&amp;D spending ramps for late-stage pipeline programs [4]. The PEG ratio of 50.86 reflects the disconnect between revenue growth (~16%) and near-term EPS trajectory — Q1 2026 showed the beginning of this margin compression. The EU negative regulatory opinion on trofinetide (DAYBUE) blocks the largest international expansion avenue and narrows the growth runway. Pipeline binary risk is concentrated in the late-2026 remlifanserin Phase 2 readout — a negative result would leave ACADIA with a two-product franchise facing eventual patent expiration risk. Revenue remains heavily concentrated: NUPLAZID faces eventual generic competition, and DAYBUE depends on a licensed molecule from Neuren. The $4.6B market cap and 796-person organization provide limited margin of safety against competitive or clinical setbacks. Forward EPS of $0.89 versus trailing EPS of $2.23 represents a 60% expected decline that may not yet be fully priced in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Remlifanserin Phase 2 readout for Alzheimer's disease psychosis expected late 2026 could significantly expand ACADIA's addressable market beyond the current two-product franchise into the much larger ADP population [1]</w:t>
      </w:r>
    </w:p>
    <w:p>
      <w:pPr>
        <w:spacing w:before="40" w:after="40"/>
        <w:ind w:left="283"/>
      </w:pPr>
      <w:r>
        <w:rPr>
          <w:rFonts w:ascii="Calibri" w:hAnsi="Calibri"/>
          <w:b/>
          <w:color w:val="4A6B25"/>
          <w:sz w:val="20"/>
        </w:rPr>
        <w:t xml:space="preserve">2. </w:t>
      </w:r>
      <w:r>
        <w:rPr>
          <w:rFonts w:ascii="Calibri" w:hAnsi="Calibri"/>
          <w:b w:val="0"/>
          <w:color w:val="3A4A28"/>
          <w:sz w:val="20"/>
        </w:rPr>
        <w:t>DAYBUE growth acceleration at +20% YoY with STIX formulation launch improving patient compliance, plus raised FY2026 guidance to $480-$510M (from $460-$490M), indicating strengthening franchise momentum [1]</w:t>
      </w:r>
    </w:p>
    <w:p>
      <w:pPr>
        <w:spacing w:before="40" w:after="40"/>
        <w:ind w:left="283"/>
      </w:pPr>
      <w:r>
        <w:rPr>
          <w:rFonts w:ascii="Calibri" w:hAnsi="Calibri"/>
          <w:b/>
          <w:color w:val="4A6B25"/>
          <w:sz w:val="20"/>
        </w:rPr>
        <w:t xml:space="preserve">3. </w:t>
      </w:r>
      <w:r>
        <w:rPr>
          <w:rFonts w:ascii="Calibri" w:hAnsi="Calibri"/>
          <w:b w:val="0"/>
          <w:color w:val="3A4A28"/>
          <w:sz w:val="20"/>
        </w:rPr>
        <w:t>Q2 2026 revenue growth of 17% adjusted and raised total guidance to $1.24-$1.30B demonstrate commercial execution strength that could compress the forward PE if profitability stabilizes ahead of expectations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30.07x signals expected earnings compression as R&amp;D ramps — trailing EPS of $2.23 versus forward EPS of $0.89 represents a 60% earnings decline, and the PEG of 50.86 suggests growth is not keeping pace with the profitability deterioration [4]</w:t>
      </w:r>
    </w:p>
    <w:p>
      <w:pPr>
        <w:spacing w:before="40" w:after="40"/>
        <w:ind w:left="283"/>
      </w:pPr>
      <w:r>
        <w:rPr>
          <w:rFonts w:ascii="Calibri" w:hAnsi="Calibri"/>
          <w:b/>
          <w:color w:val="4A6B25"/>
          <w:sz w:val="20"/>
        </w:rPr>
        <w:t xml:space="preserve">2. </w:t>
      </w:r>
      <w:r>
        <w:rPr>
          <w:rFonts w:ascii="Calibri" w:hAnsi="Calibri"/>
          <w:b w:val="0"/>
          <w:color w:val="3A4A28"/>
          <w:sz w:val="20"/>
        </w:rPr>
        <w:t>EU negative regulatory opinion on trofinetide blocks international DAYBUE expansion and narrows the growth runway for a company dependent on two products, both of which face eventual patent expiration risk [1]</w:t>
      </w:r>
    </w:p>
    <w:p>
      <w:pPr>
        <w:spacing w:before="40" w:after="40"/>
        <w:ind w:left="283"/>
      </w:pPr>
      <w:r>
        <w:rPr>
          <w:rFonts w:ascii="Calibri" w:hAnsi="Calibri"/>
          <w:b/>
          <w:color w:val="4A6B25"/>
          <w:sz w:val="20"/>
        </w:rPr>
        <w:t xml:space="preserve">3. </w:t>
      </w:r>
      <w:r>
        <w:rPr>
          <w:rFonts w:ascii="Calibri" w:hAnsi="Calibri"/>
          <w:b w:val="0"/>
          <w:color w:val="3A4A28"/>
          <w:sz w:val="20"/>
        </w:rPr>
        <w:t>Pipeline binary risk concentrated in the late-2026 remlifanserin Phase 2 readout, with R&amp;D leadership in transition as Head Elizabeth Thompson has retired — a negative result would leave ACADIA with limited near-term growth optionality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ACADIA's core business — commercializing FDA-approved neuropsychiatric drugs — is protected by formidable regulatory moats: multi-year clinical trial requirements, FDA approval processes, and patent exclusivity that AI cannot bypass [1]. Drug manufacturing and the physician-patient prescribing relationship for psychosis and rare disease medications involve physical and regulatory processes that are structurally AI-resistant. However, AI-driven drug discovery platforms from larger competitors (Recursion, Insilico, big pharma AI labs) could accelerate development of competing molecules in ACADIA's therapeutic areas, creating moderate long-term substitution risk for pipeline competitiveness. The EU trofinetide rejection underscores the fragility of a two-product franchise against well-resourced AI-enabled competitors. AI Opportunity (1/1): ACADIA is deploying AI through CIDO Scott Cenci across commercial analytics (physician targeting), R&amp;D operations (clinical trial patient recruitment, site selection), and regulatory functions (AI-enabled medical writing) [2]. CEO Owen Adams confirmed these generate measurable efficiency for the lean 796-person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ACADIA Pharmaceuticals Q2 2026 Results — 17% adjusted revenue growth, raised guidance to $1.24-$1.30B, NUPLAZID $167M (+5%), DAYBUE $101M (+20%), DAYBUE STIX launch — Nasdaq PR,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ACADIA Pharmaceuticals Leadership, AI Strategy, Culture — CEO Catherine Owen Adams, CIDO Scott Cenci, CPO Carl Segerstrom, AI deployment across R&amp;D and commercial, 'advancing breakthroughs in neuroscience' — Acadia.com, MMM Online, 2026</w:t>
      </w:r>
    </w:p>
    <w:p>
      <w:pPr>
        <w:spacing w:before="20" w:after="20"/>
        <w:ind w:left="170"/>
      </w:pPr>
      <w:r>
        <w:rPr>
          <w:rFonts w:ascii="Calibri" w:hAnsi="Calibri"/>
          <w:b/>
          <w:color w:val="4A6B25"/>
          <w:sz w:val="15"/>
        </w:rPr>
        <w:t xml:space="preserve">3. </w:t>
      </w:r>
      <w:r>
        <w:rPr>
          <w:rFonts w:ascii="Calibri" w:hAnsi="Calibri"/>
          <w:b w:val="0"/>
          <w:color w:val="3A4A28"/>
          <w:sz w:val="17"/>
        </w:rPr>
        <w:t>ACADIA Pharmaceuticals ESG and Community — CSR programs, Gold LEED certification, patient access advocacy, Rett syndrome caregiver support — Acadia.com, CSRHub,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ACAD Key Statistics: PE 12.0x, Forward PE 30.07x, PEG 50.86, ROE 35.74%, D/E 5.65%, Profit Margin 33.42%, Price $26.76,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