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ACGL</w:t>
      </w:r>
      <w:r>
        <w:rPr>
          <w:rFonts w:ascii="Calibri" w:hAnsi="Calibri"/>
          <w:b/>
          <w:color w:val="1A2010"/>
          <w:sz w:val="40"/>
        </w:rPr>
        <w:t xml:space="preserve">  Arch Capital Group Ltd.</w:t>
      </w:r>
    </w:p>
    <w:p>
      <w:pPr>
        <w:spacing w:after="120"/>
      </w:pPr>
      <w:r>
        <w:rPr>
          <w:rFonts w:ascii="Calibri" w:hAnsi="Calibri"/>
          <w:b/>
          <w:color w:val="6E8450"/>
          <w:sz w:val="18"/>
        </w:rPr>
        <w:t>GROWTH SLEEVE · 2026-09-12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Insurance - Property &amp; Casualty · NASDAQ · Bermuda</w:t>
      </w:r>
    </w:p>
    <w:p>
      <w:pPr>
        <w:spacing w:after="80"/>
      </w:pPr>
      <w:r>
        <w:rPr>
          <w:rFonts w:ascii="Calibri" w:hAnsi="Calibri"/>
          <w:b w:val="0"/>
          <w:color w:val="3A4A28"/>
          <w:sz w:val="20"/>
        </w:rPr>
        <w:t>Arch Capital Group is a global specialty insurer and reinsurer operating across three segments: Insurance (specialty and E&amp;S lines), Reinsurance (property and casualty treaty and facultative), and Mortgage (US and international mortgage insurance and reinsurance). Headquartered in Bermuda with offices worldwide, Arch is led by President Maamoun Rajeh under a newly consolidated single-president structure. H1 2026 net income was $2,084M (EPS $5.88) on revenue of $9.19B, and the company repurchased $1.95B in shares during the first half.</w:t>
      </w:r>
    </w:p>
    <w:p>
      <w:r>
        <w:rPr>
          <w:rFonts w:ascii="Calibri" w:hAnsi="Calibri"/>
          <w:b/>
          <w:color w:val="6E8450"/>
          <w:sz w:val="18"/>
        </w:rPr>
        <w:t>5,500 Employees · https://www.archgroup.com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Arch Capital has executed one of the most successful growth stories in specialty insurance over the past decade, expanding from a small specialty insurer into a global platform through disciplined organic growth and strategic acquisitions, with revenue growing from approximately $8.5B (2021) to $19.2B (TTM 2026) — a doubling that reflects superior underwriting cycle management and market positioning [1]. The mortgage insurance segment was built essentially from scratch into a significant profit contributor. AI Deployment (0/2): No evidence of AI-powered products, customer-facing AI tools, or quantified AI-driven cost savings was found in public disclosures. Arch's underwriting advantage appears to be human expertise and cycle management rather than technology-driven [2]. Market Share Leadership (1/2): Arch is a top-tier global P&amp;C reinsurer and a significant mortgage insurer, growing share through the hard market cycle, but is not the dominant player in any single category [1]. Product Pipeline (0/2): No specific next-generation products or technology initiatives with named timelines were identified; the leadership reshuffle is about organizational efficiency rather than product innovation [2]. R&amp;D Intensity (0/1): Insurance companies do not report R&amp;D expenditure in the traditional sense.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Arch Capital's stated focus is on 'delivering long-term value for clients and shareholders' through disciplined underwriting — a clear operational philosophy but fundamentally about financial performance rather than a deeper societal purpose [2]. The emphasis on underwriting discipline is consistent and genuine but does not articulate why Arch exists beyond making money well. Community Impact (1/2): Arch publishes sustainability reports covering five impact areas (Business, Operations, Investments, People, Communities) and has reported on ESG practices for at least five years, demonstrating institutional commitment to corporate responsibility [3]. However, no specific dollar-quantified charitable programs or distinctive community investments were identified. Employee Retention (0/2): New leadership appointments (Halgan, Schmeiser as segment CEOs) described as 'deeply grounded in Arch's underwriting culture' suggest internal talent development and cultural continuity, but no specific retention data or tenure statistics were found [2].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growth-stock weighting. Arch Capital demonstrates exceptional financial fundamentals across most core metrics: D/E of 12% is far below the 70% target (score 1.0), ROE of 19.54% exceeds the 15% target (score 1.0 with 2x weight), profit margin of 22.07% exceeds the 20% target (score 1.0), and Forward P/E of 10.90 is well below the 20x target (score 1.0) [4]. The 5yr revenue CAGR of approximately 18% far exceeds the 10% target (score 1.0 with 2x weight), reflecting both organic premium growth and the hard market cycle. The significant drags are YoY revenue growth of only 0.4% on a TTM basis (score 0.68), reflecting normalization after the extraordinary growth period, and the Forward PEG of 4.86 scoring 0 with 2x weight, indicating the market expects limited earnings growth from current elevated levels. Daily liquidity of approximately $165M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Arch Capital exhibits a primarily finite mindset through Sinek's lens — the company is exceptionally well-run with a consistent underwriting philosophy that has created enormous shareholder value, but it lacks a Just Cause beyond financial performance. The emphasis on 'disciplined underwriting,' 'consistent profitability,' and 'long-term value for shareholders' is the language of finite optimization rather than infinite purpose. The recent leadership restructuring under President Rajeh demonstrates organizational evolution, and the multi-decade consistency of the underwriting culture shows durability, but the company does not articulate why it exists beyond making money well.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Arch Capital's consistent philosophy of 'disciplined underwriting' has been maintained through multiple market cycles and leadership transitions, demonstrating genuine durability [2]. However, underwriting discipline is an operating philosophy, not a Just Cause — it does not describe a future state that benefits others or inspire sacrifice beyond financial performance. The company exists to underwrite risk profitably, which is a finite objective no matter how well executed.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recent promotions of Jerome Halgan and Michael Schmeiser to segment CEO roles, described as leaders 'deeply grounded in Arch's underwriting culture and corporate values' who have 'consistently outperformed through market cycles,' suggest genuine internal talent development and cultural continuity [2]. The single-president consolidation under Maamoun Rajeh implies organizational trust in a streamlined leadership model. However, no specific employee retention data, tenure statistics, or evidence of exceptional organizational trust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Arch publicly acknowledging competitors' strengths or framing competitive dynamics as a source of self-improvement. The company's communication focuses on its own underwriting performance and market positioning rather than learning from rivals in the specialty insurance space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Arch has demonstrated meaningful strategic evolution — building the mortgage insurance segment from nothing into a major profit contributor, expanding from specialty insurance into global reinsurance, and restructuring leadership from dual-president to single-president to improve organizational alignment [1][2]. These represent significant expansions of the business model across adjacent risk categories. However, Arch has remained fundamentally an underwriter of risk throughout — the evolution has been expanding what risks to underwrite, not transforming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Arch's disciplined approach to underwriting cycles — pulling back from overpriced markets and leaning in during hard markets — demonstrates willingness to sacrifice near-term premium volume for long-term profitability [1]. The $1.95B in H1 2026 share buybacks represent significant capital return conviction. However, these are rational capital allocation decisions within the insurance business model, not transformative long-term bets that sacrifice current earnings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Arch Capital at 10.90x forward earnings and 7.62x trailing earnings is arguably the highest-quality specialty insurer in the public market — H1 2026 net income of $2,084M (EPS $5.88) demonstrates exceptional underwriting profitability with ROE of 19.54% and profit margin of 22.07% on a pristine balance sheet with only 12% debt-to-equity [1][4]. Book value per share increased 4.5% in H1 alone despite $1.95B in buybacks, and the 5yr revenue CAGR of approximately 18% reflects both organic growth and disciplined hard market cycle positioning. The PE of 7.62 is 38% below its historical average, suggesting the market is pricing in cycle normalization that may take longer to materialize than feared. Arch's three-segment model (Insurance, Reinsurance, Mortgage) provides diversified earnings streams, and the recent leadership consolidation under President Rajeh should improve cross-segment coordination.</w:t>
      </w:r>
    </w:p>
    <w:p>
      <w:pPr>
        <w:spacing w:after="120"/>
      </w:pPr>
      <w:r>
        <w:rPr>
          <w:rFonts w:ascii="Calibri" w:hAnsi="Calibri"/>
          <w:b w:val="0"/>
          <w:color w:val="3A4A28"/>
          <w:sz w:val="20"/>
        </w:rPr>
        <w:t>The bear case centers on insurance cycle risk, growth deceleration, and framework scoring limitations. TTM revenue growth of only 0.4% signals the hard market premium growth cycle is decelerating, and the Forward PEG of 4.86 indicates the market expects minimal earnings growth from current elevated levels [4]. Insurance is inherently cyclical — Arch's exceptional recent results reflect favorable pricing conditions that will inevitably soften, and historical precedent shows specialty insurers' earnings can decline 30-50% in soft market phases. The Innovation (3/10) and Inspiration (2/10) scores are structurally low because the IOWN framework's scoring rubric (AI deployment, R&amp;D intensity, mission quality, community impact) does not align well with insurance business models that compete on underwriting expertise and capital management rather than product innovation or societal purpose. The Inspire Impact Score of -49 (MISALIGNED) limits faith-based allocation. Q1 2026 EPS growth of 94.6% (from $1.48 to $2.88) came partly from investment income variability, and sustained results at this level are unlikely as the insurance cycle normalizes.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 ratio of 7.62 at 38% below historical average with ROE of 19.54% and 12% D/E creates a compelling value case — if the market recognizes that the hard market may have a longer tail than feared, multiple expansion toward 10-12x trailing earnings would drive 30-60% upside [4]</w:t>
      </w:r>
    </w:p>
    <w:p>
      <w:pPr>
        <w:spacing w:before="40" w:after="40"/>
        <w:ind w:left="283"/>
      </w:pPr>
      <w:r>
        <w:rPr>
          <w:rFonts w:ascii="Calibri" w:hAnsi="Calibri"/>
          <w:b/>
          <w:color w:val="4A6B25"/>
          <w:sz w:val="20"/>
        </w:rPr>
        <w:t xml:space="preserve">2. </w:t>
      </w:r>
      <w:r>
        <w:rPr>
          <w:rFonts w:ascii="Calibri" w:hAnsi="Calibri"/>
          <w:b w:val="0"/>
          <w:color w:val="3A4A28"/>
          <w:sz w:val="20"/>
        </w:rPr>
        <w:t>AI-driven demand creation as new insurable risks (AI liability, algorithmic errors, autonomous vehicles, data privacy) expand the specialty insurance addressable market, potentially extending the growth cycle beyond traditional P&amp;C pricing dynamics [2]</w:t>
      </w:r>
    </w:p>
    <w:p>
      <w:pPr>
        <w:spacing w:before="40" w:after="40"/>
        <w:ind w:left="283"/>
      </w:pPr>
      <w:r>
        <w:rPr>
          <w:rFonts w:ascii="Calibri" w:hAnsi="Calibri"/>
          <w:b/>
          <w:color w:val="4A6B25"/>
          <w:sz w:val="20"/>
        </w:rPr>
        <w:t xml:space="preserve">3. </w:t>
      </w:r>
      <w:r>
        <w:rPr>
          <w:rFonts w:ascii="Calibri" w:hAnsi="Calibri"/>
          <w:b w:val="0"/>
          <w:color w:val="3A4A28"/>
          <w:sz w:val="20"/>
        </w:rPr>
        <w:t>Leadership consolidation under President Rajeh with segment CEOs Halgan (Reinsurance) and Schmeiser (Mortgage) should improve cross-segment underwriting coordination and capital allocation efficiency across the global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Insurance cycle normalization from the hard market's peak pricing could compress premiums and earnings — TTM revenue growth of only 0.4% already signals deceleration, and historical soft market phases have driven 30-50% earnings declines for specialty insurers [4]</w:t>
      </w:r>
    </w:p>
    <w:p>
      <w:pPr>
        <w:spacing w:before="40" w:after="40"/>
        <w:ind w:left="283"/>
      </w:pPr>
      <w:r>
        <w:rPr>
          <w:rFonts w:ascii="Calibri" w:hAnsi="Calibri"/>
          <w:b/>
          <w:color w:val="4A6B25"/>
          <w:sz w:val="20"/>
        </w:rPr>
        <w:t xml:space="preserve">2. </w:t>
      </w:r>
      <w:r>
        <w:rPr>
          <w:rFonts w:ascii="Calibri" w:hAnsi="Calibri"/>
          <w:b w:val="0"/>
          <w:color w:val="3A4A28"/>
          <w:sz w:val="20"/>
        </w:rPr>
        <w:t>Investment income volatility — Q1 EPS surged 94.6% partly on investment gains that may not repeat; separating underwriting performance from investment returns is essential for assessing sustainable earnings power [1]</w:t>
      </w:r>
    </w:p>
    <w:p>
      <w:pPr>
        <w:spacing w:before="40" w:after="40"/>
        <w:ind w:left="283"/>
      </w:pPr>
      <w:r>
        <w:rPr>
          <w:rFonts w:ascii="Calibri" w:hAnsi="Calibri"/>
          <w:b/>
          <w:color w:val="4A6B25"/>
          <w:sz w:val="20"/>
        </w:rPr>
        <w:t xml:space="preserve">3. </w:t>
      </w:r>
      <w:r>
        <w:rPr>
          <w:rFonts w:ascii="Calibri" w:hAnsi="Calibri"/>
          <w:b w:val="0"/>
          <w:color w:val="3A4A28"/>
          <w:sz w:val="20"/>
        </w:rPr>
        <w:t>Forward PEG of 4.86 implies the market expects near-zero earnings growth, and if premium softening materializes faster than expected, the currently attractive 7.62x PE could prove a value trap rather than an opportunity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Arch Capital's insurance and reinsurance business is protected from AI disruption by substantial structural moats — regulatory capital requirements, licensing barriers, established client relationships, and the physical-world nature of insured risks that AI cannot eliminate [2]. Property damage, natural catastrophes, mortgage defaults, and liability claims require capital reserves and actuarial expertise that AI cannot replace. AI may enhance competitor pricing and risk selection capabilities, putting pressure on less analytical underwriters, but Arch's disciplined underwriting culture is well-positioned to adopt these tools rather than be displaced by them. Additionally, AI creates new insurable risks (AI liability, algorithmic errors, autonomous vehicle coverage) that expand the addressable market for specialty insurers. Analysts have not flagged AI as a threat to the P&amp;C insurance model. AI Opportunity (0/1): Arch does not generate direct revenue from AI products or services. While technological disruption creates new insurance risks that expand the market, Arch is a beneficiary of AI-driven demand rather than an AI revenue generator.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Arch Capital Q1 and Q2 2026 Earnings — Q1 Net Income $1,047M (EPS $2.88 vs $1.48), Q2 EPS $2.56 (Beat $2.43), H1 Net Income $2,084M, $1.95B Share Buybacks, Book Value +4.5% — StockTitan, Yahoo Finance, May-July 2026</w:t>
      </w:r>
    </w:p>
    <w:p>
      <w:pPr>
        <w:spacing w:before="20" w:after="20"/>
        <w:ind w:left="170"/>
      </w:pPr>
      <w:r>
        <w:rPr>
          <w:rFonts w:ascii="Calibri" w:hAnsi="Calibri"/>
          <w:b/>
          <w:color w:val="4A6B25"/>
          <w:sz w:val="15"/>
        </w:rPr>
        <w:t xml:space="preserve">2. </w:t>
      </w:r>
      <w:r>
        <w:rPr>
          <w:rFonts w:ascii="Calibri" w:hAnsi="Calibri"/>
          <w:b w:val="0"/>
          <w:color w:val="3A4A28"/>
          <w:sz w:val="17"/>
        </w:rPr>
        <w:t>Arch Capital Leadership Changes — CEO Halgan (Global Reinsurance), CEO Schmeiser (Global Mortgage), President Rajeh Expanded Role, Single-President Structure — GuruFocus, TipRanks, Simply Wall St, June 2026</w:t>
      </w:r>
    </w:p>
    <w:p>
      <w:pPr>
        <w:spacing w:before="20" w:after="20"/>
        <w:ind w:left="170"/>
      </w:pPr>
      <w:r>
        <w:rPr>
          <w:rFonts w:ascii="Calibri" w:hAnsi="Calibri"/>
          <w:b/>
          <w:color w:val="4A6B25"/>
          <w:sz w:val="15"/>
        </w:rPr>
        <w:t xml:space="preserve">3. </w:t>
      </w:r>
      <w:r>
        <w:rPr>
          <w:rFonts w:ascii="Calibri" w:hAnsi="Calibri"/>
          <w:b w:val="0"/>
          <w:color w:val="3A4A28"/>
          <w:sz w:val="17"/>
        </w:rPr>
        <w:t>Arch Capital ESG &amp; Sustainability — Five Impact Areas (Business, Operations, Investments, People, Communities), TCFD Reporting, Low Controversy — BusinessWire, archgroup.com,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ACGL Key Statistics: PE 7.62x, Forward P/E 10.90x, D/E 12%, ROE 19.54%, Profit Margin 22.07%, PEG 4.86, Market Cap ~$35B,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