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ACH</w:t>
      </w:r>
      <w:r>
        <w:rPr>
          <w:rFonts w:ascii="Calibri" w:hAnsi="Calibri"/>
          <w:b/>
          <w:color w:val="1A2010"/>
          <w:sz w:val="40"/>
        </w:rPr>
        <w:t xml:space="preserve">  Accendra Health, Inc.</w:t>
      </w:r>
    </w:p>
    <w:p>
      <w:pPr>
        <w:spacing w:after="120"/>
      </w:pPr>
      <w:r>
        <w:rPr>
          <w:rFonts w:ascii="Calibri" w:hAnsi="Calibri"/>
          <w:b/>
          <w:color w:val="6E8450"/>
          <w:sz w:val="18"/>
        </w:rPr>
        <w:t>GROWTH SLEEVE · 2026-09-22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Home Health Care Services · NYSE · United States</w:t>
      </w:r>
    </w:p>
    <w:p>
      <w:pPr>
        <w:spacing w:after="80"/>
      </w:pPr>
      <w:r>
        <w:rPr>
          <w:rFonts w:ascii="Calibri" w:hAnsi="Calibri"/>
          <w:b w:val="0"/>
          <w:color w:val="3A4A28"/>
          <w:sz w:val="20"/>
        </w:rPr>
        <w:t>Accendra Health, Inc. (formerly Owens &amp; Minor, Inc.) is a pure-play home-based care company operating through its Apria and Byram Healthcare brands, providing in-home care for diabetes treatment, home respiratory therapy (oxygen, ventilation), sleep apnea treatment (CPAP/BiPAP), and other durable medical equipment and supplies. Founded in 1882 as a medical supply distributor, the company completed a transformative divestiture of its Products &amp; Healthcare Services segment for $375M in December 2025, rebranding from Owens &amp; Minor and changing its ticker to ACH. Q2 2026 revenue of $613M was down 10% YoY as the company navigates the loss of a major commercial payer contract. New CEO Jim Marshall was appointed May 2026. Market cap ~$67M.</w:t>
      </w:r>
    </w:p>
    <w:p>
      <w:r>
        <w:rPr>
          <w:rFonts w:ascii="Calibri" w:hAnsi="Calibri"/>
          <w:b/>
          <w:color w:val="6E8450"/>
          <w:sz w:val="18"/>
        </w:rPr>
        <w:t>6,500 Employees · https://www.accendrahealth.com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December 2025 rebrand from Owens &amp; Minor to Accendra Health and $375M divestiture of the Products &amp; Healthcare Services segment represents a genuine business model transformation to pure-play home-based care, though this was financial restructuring driven by balance sheet distress rather than product-led innovation [1]. Revenue declined from $2.76B (FY2025) to a guided $2.45-2.55B in FY2026 as the company absorbed the loss of a major payer contract. AI Deployment (1/2): Adopted Palantir AIP Platform and Palantir Foundry in 2024 for operational AI across logistics and patient management, and introduced a Chief AI &amp; Data Officer role reporting to the CEO [2]. However, no specific revenue gains or cost savings from AI have been publicly quantified. Market Share (1/2): Apria is a meaningful player in the U.S. home respiratory therapy and CPAP services market but is not the category leader in a highly fragmented home health landscape competing against Lincare, AdaptHealth, and BrightSpring [1]. Product Pipeline (0/2): No next-generation products or services announced with specific timelines; growth strategy is incremental payer diversification and service expansion. R&amp;D Intensity (0/1): Healthcare services company with minimal R&amp;D spend; no evidence of above-average investment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'Bringing Care to Life' is clear and identifies what the company does for patients, but is not distinctive — it could belong to any home health company and does not articulate a deeper purpose beyond the obvious service delivery model [1]. Community Impact (0/2): Owens &amp; Minor established a $10M charitable fund prior to the divestiture, but no evidence of distinctive community programs continuing under the Accendra Health brand [3]. Employee Retention (0/2): The company underwent massive restructuring in late 2025-early 2026 with executive departures, CEO transition (Ed Pesicka to Jim Marshall in May 2026), and organizational instability from the rebrand and payer contract loss — not conducive to employee retention [2]. Insider Buying (0/2): No meaningful net insider buying identified in the last 12 months; with the stock declining from $9+ to $0.87, the absence of insider purchases at deeply distressed valuations is a negative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is unavailable due to negative shareholders' equity — total debt of $1.82B against negative book equity represents severe balance sheet distress, scored 0 [1]. ROE is also unavailable due to negative equity, scored 0 at 2x weight. Revenue growth YoY of -10.1% scores 0.33, with Q2 2026 revenue of $613M down 10% from prior year as the company absorbed the exit from a large commercial payer relationship [1]. Profit margin of -11.4% scores 0, though this represents significant improvement from -39.85% during restructuring charges [1]. Forward P/E of 5.83x scores 1.0 (forward EPS $0.15 implies a path to profitability). PEG of 0.7 scores 1.0 at 2x weight, though this ratio is based on turnaround earnings from a deeply negative base and may overstate valuation attractiveness. Weighted sum of 3.33 on 8 weight units yields score of 4. Liquidity barely clears the floor: avg daily volume 1.22M x $0.87 = $1.06M.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Accendra Health is mid-transformation — having divested its 142-year-old distribution business and rebranded — but the transformation was driven by financial pressure ($1.82B debt, negative equity) rather than a clear Just Cause. The stock's 90%+ decline from $9+ to $0.87 under prior leadership, organizational instability from multiple executive departures, and the May 2026 CEO transition to Jim Marshall signal a company in survival mode rather than infinite game play. The existential flexibility of abandoning the legacy Owens &amp; Minor identity is impressive, but it remains unclear whether the company will emerge stronger.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'Bringing Care to Life' is a cause statement that exists but reads as marketing — interchangeable with any home health company's tagline. The strategic decisions driving the transformation ($375M divestiture, rebrand, payer contract losses) appear driven by financial engineering and balance sheet repair rather than a vision of a better future for home-based healthcare [1]. No evidence that the Just Cause shapes strategic decisions beyond investor marketing.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Severe organizational instability. CEO transition from Ed Pesicka to Jim Marshall in May 2026, executive departures post-divestiture, simultaneous rebrand and ticker change, and a stock price decline from $9+ to $0.87 create a fear-based environment where employees protect themselves rather than advance a shared mission [2]. The company reduced headcount to 6,500 from the combined entity's much larger workforce. No evidence of employee empowerment or psychological safety during this turbulent transformation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Investor communications frame the home health market in terms of 'market positioning' and competitive advantages from scale rather than learning from rivals like Lincare, AdaptHealth, or BrightSpring Health Services. The company's competitive language is oriented toward market share capture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company fundamentally reinvented itself — selling its 142-year-old core distribution business and the Owens &amp; Minor brand for $375M, changing its name, ticker, and entire strategic identity to become a pure-play home-based care company [1]. This is among the most dramatic strategic pivots in recent corporate history. Whether driven by financial necessity or vision, the willingness to abandon a legacy business and identity entirely earns maximum points under Sinek's framework.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divestiture and rebrand are bold moves, they appear driven by financial necessity — repairing a stressed balance sheet with $1.82B debt, shedding a low-margin segment, and attempting to avoid insolvency — rather than investing in long-term capability from a position of strength [1]. CEO Ed Pesicka presided over a 90%+ stock price decline before his planned retirement. New CEO Jim Marshall (May 2026) inherits a company that cut full-year 2026 guidance for revenue, EBITDA, and free cash flow, suggesting the transformation is not yet stabilized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Accendra Health is a deep-value turnaround at $0.87/share ($67M market cap) trading at 5.8x forward earnings with a PEG of 0.7, backed by the secular tailwind of aging demographics and the shift from institutional to home-based healthcare. Q1 2026 beat EPS expectations (-$0.04 vs -$0.10 estimate), profit margin improved dramatically from -39.9% to -11.4% as restructuring charges roll off, and forward EPS of $0.15 implies a path to GAAP profitability by late 2026 [1]. The Apria and Byram Healthcare brands serve chronic condition patients requiring recurring equipment and supplies, providing inherent revenue stickiness. Free cash flow of $420M on a TTM basis (likely inflated by working capital from the divestiture) suggests the operating business generates meaningful cash. At this market cap, any stabilization in earnings could produce significant equity upside.</w:t>
      </w:r>
    </w:p>
    <w:p>
      <w:pPr>
        <w:spacing w:after="120"/>
      </w:pPr>
      <w:r>
        <w:rPr>
          <w:rFonts w:ascii="Calibri" w:hAnsi="Calibri"/>
          <w:b w:val="0"/>
          <w:color w:val="3A4A28"/>
          <w:sz w:val="20"/>
        </w:rPr>
        <w:t>The bear case is existential. The stock has cratered 90%+ from $9+ to $0.87, with Accendra cutting full-year 2026 guidance for revenue ($2.45-2.55B, down from prior guidance), EBITDA ($300-320M), and free cash flow after Q2 2026 revenue declined 10% YoY to $613M [1]. Total debt of $1.82B against only $7.6M cash and negative shareholders' equity creates severe refinancing risk on a $67M market cap — the company's debt is 27x its equity value. Organizational instability continues with CEO Jim Marshall appointed only in May 2026, following predecessor Pesicka's tenure marked by an 90%+ stock decline and multiple executive departures [2]. The loss of a major commercial payer contract exposed customer concentration risk in the newly focused business. The 'State Owned Enterprise' Inspire negative attribution is a legacy data artifact from when the ACH ticker belonged to Aluminum Corporation of China and does not reflect Accendra Health's ownership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with forward EPS of $0.15 — profit margin improvement from -39.9% to -11.4% suggests restructuring charges are rolling off and the pure-play home health model can achieve break-even by late 2026 [1]</w:t>
      </w:r>
    </w:p>
    <w:p>
      <w:pPr>
        <w:spacing w:before="40" w:after="40"/>
        <w:ind w:left="283"/>
      </w:pPr>
      <w:r>
        <w:rPr>
          <w:rFonts w:ascii="Calibri" w:hAnsi="Calibri"/>
          <w:b/>
          <w:color w:val="4A6B25"/>
          <w:sz w:val="20"/>
        </w:rPr>
        <w:t xml:space="preserve">2. </w:t>
      </w:r>
      <w:r>
        <w:rPr>
          <w:rFonts w:ascii="Calibri" w:hAnsi="Calibri"/>
          <w:b w:val="0"/>
          <w:color w:val="3A4A28"/>
          <w:sz w:val="20"/>
        </w:rPr>
        <w:t>Aging U.S. demographics (65+ population growing ~3% annually) and Medicare policy shifts favoring home-based care over institutional settings provide a secular growth tailwind for Apria and Byram Healthcare brands</w:t>
      </w:r>
    </w:p>
    <w:p>
      <w:pPr>
        <w:spacing w:before="40" w:after="40"/>
        <w:ind w:left="283"/>
      </w:pPr>
      <w:r>
        <w:rPr>
          <w:rFonts w:ascii="Calibri" w:hAnsi="Calibri"/>
          <w:b/>
          <w:color w:val="4A6B25"/>
          <w:sz w:val="20"/>
        </w:rPr>
        <w:t xml:space="preserve">3. </w:t>
      </w:r>
      <w:r>
        <w:rPr>
          <w:rFonts w:ascii="Calibri" w:hAnsi="Calibri"/>
          <w:b w:val="0"/>
          <w:color w:val="3A4A28"/>
          <w:sz w:val="20"/>
        </w:rPr>
        <w:t>New CEO Jim Marshall (May 2026) could bring fresh strategic direction and credibility with investors after the 90%+ stock decline under prior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insolvency risk — $1.82B debt against $7.6M cash and negative shareholders' equity on a $67M market cap creates existential refinancing exposure if operating cash flow disappoints or credit markets tighten [1]</w:t>
      </w:r>
    </w:p>
    <w:p>
      <w:pPr>
        <w:spacing w:before="40" w:after="40"/>
        <w:ind w:left="283"/>
      </w:pPr>
      <w:r>
        <w:rPr>
          <w:rFonts w:ascii="Calibri" w:hAnsi="Calibri"/>
          <w:b/>
          <w:color w:val="4A6B25"/>
          <w:sz w:val="20"/>
        </w:rPr>
        <w:t xml:space="preserve">2. </w:t>
      </w:r>
      <w:r>
        <w:rPr>
          <w:rFonts w:ascii="Calibri" w:hAnsi="Calibri"/>
          <w:b w:val="0"/>
          <w:color w:val="3A4A28"/>
          <w:sz w:val="20"/>
        </w:rPr>
        <w:t>Revenue deterioration with Q2 2026 down 10% YoY to $613M and full-year guidance cut to $2.45-2.55B, driven by loss of a major commercial payer contract that exposes customer concentration vulnerability in the newly focused business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transitions in two years (Pesicka retiring, interim leadership, Marshall appointed May 2026), multiple executive departures, and a stock price that has lost 90%+ of its value — signaling deep institutional dysfunction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Accendra Health's core business — physical delivery, setup, fitting, and management of durable medical equipment (CPAP devices, oxygen concentrators, diabetes supplies) in patients' homes — requires in-person clinical assessments, device configuration, and ongoing patient interaction that AI structurally cannot displace [1]. The heavily regulated Medicare/Medicaid reimbursement environment, FDA device requirements, and state licensing create additional barriers to AI substitution. Some administrative functions (scheduling, billing, prior authorization) face AI-driven efficiency pressure, and remote patient monitoring could reduce visit frequency, but the core revenue model is physically grounded and regulation-protected. AI Opportunity (0/1): The company has a Chief AI &amp; Data Officer and uses Palantir AIP for internal operational optimization, but does not generate revenue from AI-related products or services offered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State Owned Enterprise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Accendra Health Q2 2026 Earnings — Revenue $613M (-10% YoY), Cut FY2026 Guidance to $2.45-2.55B Revenue and $300-320M EBITDA, Q1 2026 EPS -$0.04 (beat), Investing.com and SEC filings, August 2026</w:t>
      </w:r>
    </w:p>
    <w:p>
      <w:pPr>
        <w:spacing w:before="20" w:after="20"/>
        <w:ind w:left="170"/>
      </w:pPr>
      <w:r>
        <w:rPr>
          <w:rFonts w:ascii="Calibri" w:hAnsi="Calibri"/>
          <w:b/>
          <w:color w:val="4A6B25"/>
          <w:sz w:val="15"/>
        </w:rPr>
        <w:t xml:space="preserve">2. </w:t>
      </w:r>
      <w:r>
        <w:rPr>
          <w:rFonts w:ascii="Calibri" w:hAnsi="Calibri"/>
          <w:b w:val="0"/>
          <w:color w:val="3A4A28"/>
          <w:sz w:val="17"/>
        </w:rPr>
        <w:t>Accendra Health Leadership and AI Strategy — CEO Jim Marshall Appointed May 2026, Chief AI &amp; Data Officer Role Created, Palantir AIP Adoption, Fortune/Simply Wall St/Accendra Website,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Accendra Health ESG and Corporate History — Owens &amp; Minor $10M Charitable Fund, Inaugural ESG Report, $375M Divestiture Dec 2025, BusinessWire/Wikipedia,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