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ACLX</w:t>
      </w:r>
      <w:r>
        <w:rPr>
          <w:rFonts w:ascii="Calibri" w:hAnsi="Calibri"/>
          <w:b/>
          <w:color w:val="1A2010"/>
          <w:sz w:val="40"/>
        </w:rPr>
        <w:t xml:space="preserve">  Arcellx, Inc.</w:t>
      </w:r>
    </w:p>
    <w:p>
      <w:pPr>
        <w:spacing w:after="120"/>
      </w:pPr>
      <w:r>
        <w:rPr>
          <w:rFonts w:ascii="Calibri" w:hAnsi="Calibri"/>
          <w:b/>
          <w:color w:val="6E8450"/>
          <w:sz w:val="18"/>
        </w:rPr>
        <w:t>GROWTH SLEEVE · 2026-09-09 · Inspire: 44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Arcellx was a clinical-stage biotechnology company developing immunotherapies for cancer using its proprietary D-Domain binding platform. Its lead product, anitocabtagene autoleucel (anito-cel), is a ddCAR T-cell therapy for relapsed/refractory multiple myeloma with a PDUFA date of December 23, 2026. Gilead Sciences completed its acquisition of Arcellx for $115/share plus a $5 CVR on April 28, 2026 ($7.8B total implied equity value). ACLX was delisted from NASDAQ upon deal closure.</w:t>
      </w:r>
    </w:p>
    <w:p>
      <w:r>
        <w:rPr>
          <w:rFonts w:ascii="Calibri" w:hAnsi="Calibri"/>
          <w:b/>
          <w:color w:val="6E8450"/>
          <w:sz w:val="18"/>
        </w:rPr>
        <w:t>209 Employees · https://www.arcellx.com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Arcellx's ddCAR platform represents a genuine innovation in CAR-T cell therapy, with the pivotal Phase 2 iMMagine-1 study demonstrating a 96% overall response rate, 74% CR/sCR rate, and 88% VGPR+ rate — among the best clinical data in relapsed/refractory multiple myeloma [1]. The Gilead acquisition at $115/share (68% premium) validated the platform's commercial potential. AI Deployment (0/2): No evidence of AI-powered products or AI-driven operational savings; Arcellx is a traditional biotech R&amp;D operation. Market Share (2/2): Anito-cel's clinical profile positions it as potentially best-in-class in the CAR-T space for multiple myeloma, with consensus revenue expectations of ~$2.5B by 2035 [1]. The Gilead/Kite commercial infrastructure provides distribution muscle for rapid launch upon FDA approval. Pipeline (2/2): BLA accepted with PDUFA date December 23, 2026 for anito-cel; ACLX-001 (Phase 1, BCMA for rrMM), ACLX-002 (Phase 1, CD123 for AML/MDS), and ACLX-004 (preclinical, AML/MDS) provide clear next-generation visibility [1][2]. R&amp;D Intensity (1/1): As a clinical-stage biotech, virtually 100% of spending is R&amp;D — well above any industry benchmark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Arcellx's mission to 'advance humanity by engineering cell therapies that are safer, more effective, and more broadly accessible' is specific, thoughtful, and connects the work to patient impact [2]. It differentiates from generic biotech platitudes by emphasizing accessibility alongside efficacy. Community Impact (0/2): No evidence of significant charitable programs or community investment; as a 209-employee pre-commercial company, community impact is limited to potential patient benefit from successful drug development. Employee Retention (1/2): Mixed signals — 53% female representation with gender parity across leadership is distinctive, 'Act like a founder' values suggest empowerment, and benefits include unlimited PTO and monthly three-day weekends [2]. However, Glassdoor reviews cite 'toxic culture,' 'favoritism,' and a 'bloated leadership structure,' indicating uneven experiences. Insider Buying (0/2): CEO Elghandour sold $10.2M in shares and CFO Gilson sold $2.6M in February-March 2026, representing net insider selling, though these occurred near the $115 acquisition price as typical pre-merger liquidation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Arcellx is a pre-commercial biotech with no meaningful product revenue — $22.3M in 2025 revenue (down 89.2% from $107.9M in milestone payments from prior collaboration agreements) reflects the gap between milestone-based partner payments and commercial revenue [4]. ROE of -53.4% and profit margin near 0% demonstrate the cash-burning nature of clinical-stage development. The sole positive metric is a clean balance sheet: $450M cash against $51.9M debt (D/E 12.9%) provided runway into 2028, now mooted by the Gilead acquisition [4]. Liquidity floor cleared pre-delisting: 2.25M avg vol x $115 = $258.7M daily. Infrastructure calculated mechanically (Growth stock): D/E 12.9% → 1.0 (1x weight), ROE -53.4% → 0.0 (2x weight), Rev Growth YoY -89.2% → 0.0 (1x weight), Profit Margin ~0% → 0.0 (1x weight). Rev 5yr CAGR, Forward P/E, PEG excluded (not meaningful for pre-revenue biotech). Weighted sum 1.0 / max 5.0 x 10 =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Arcellx demonstrated genuine mission-driven qualities through its focus on accessible cell therapies, with the ddCAR platform representing courageous scientific risk-taking. However, the company was too young (founded 2014) and too small (209 employees) to have built the sustained organizational infrastructure that Sinek requires for infinite game thinking. The Gilead acquisition, while validating the platform's value, ended Arcellx's independent infinite game — the future of anito-cel will now be played by Gilead's rules and priorities.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mission to make cell therapies 'safer, more effective, and more broadly accessible' is genuine and connects to a larger purpose — the 96% ORR data validates that the science is advancing toward this cause [1][2]. However, the company existed for only 12 years before acquisition and hasn't demonstrated multi-decade commitment through cycles. The Gilead acquisition moots the question of whether Arcellx would have sustained this cause independently.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describe 'toxic culture that leads to burnout,' 'favoritism,' and a 'bloated structure that slows decision-making' with excessive directors and VPs [2]. The CEO 'rarely visits the Maryland office' despite mandating in-person work. While scientific talent is praised as best-in-class and benefits are generous (unlimited PTO, monthly three-day weekends), organizational trust appears low, suggesting people spent energy on internal politics rather than advancing the mission.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Arcellx competed directly with BMS (Abecma) and J&amp;J/Legend (Carvykti) in the CAR-T space but framed competition primarily through clinical data superiority rather than acknowledging rival strengths or areas for self-improvement [1]. The competitive positioning was about 'winning' the multiple myeloma market rather than learning from peers — a 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ddCAR platform itself represents innovative flexibility — engineering a novel receptor architecture rather than using standard CAR constructs — showing willingness to diverge from established approaches [2]. Pipeline diversification into AML/MDS (ACLX-002) and solid tumors beyond core myeloma demonstrates strategic expansion. However, the company was too early-stage to have faced the existential test Sinek values — they never had to abandon a successful product.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Elghandour made the courageous decision to pursue a novel receptor platform (ddCAR) rather than licensing established CAR constructs, betting the company on unproven science that ultimately produced best-in-class clinical data [1][2]. Navigating the Gilead acquisition at a 68% premium ($115/share vs ~$68 pre-announcement) while securing a $5/share CVR demonstrated negotiation discipline and confidence in anito-cel's commercial potential.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Arcellx was acquired by Gilead Sciences for $115/share in cash plus a $5/share CVR (contingent on $6B cumulative global net sales of anito-cel through year-end 2029), with the acquisition completing on April 28, 2026 [1]. ACLX has been delisted from NASDAQ and is no longer publicly tradeable. The underlying asset is exceptional: anito-cel's 96% ORR and 74% CR/sCR in the pivotal iMMagine-1 study represent potentially best-in-class data in relapsed/refractory multiple myeloma, with consensus revenue expectations of ~$2.5B by 2035 [1]. The FDA BLA was accepted with a PDUFA target action date of December 23, 2026 — approval would validate the ddCAR platform and begin the commercial launch under Gilead's Kite Pharma commercial infrastructure. The pipeline (ACLX-001, ACLX-002, ACLX-004) extends the platform into AML and solid tumors.</w:t>
      </w:r>
    </w:p>
    <w:p>
      <w:pPr>
        <w:spacing w:after="120"/>
      </w:pPr>
      <w:r>
        <w:rPr>
          <w:rFonts w:ascii="Calibri" w:hAnsi="Calibri"/>
          <w:b w:val="0"/>
          <w:color w:val="3A4A28"/>
          <w:sz w:val="20"/>
        </w:rPr>
        <w:t>As a completed acquisition, ACLX is no longer investable as a standalone equity. The IOWN scores reflect the company's characteristics at the time of delisting. Pre-commercial financial metrics were deeply negative: -53% ROE, -89% revenue decline (as milestone payments ceased), and ~$210M annual cash burn [4]. The clean balance sheet ($450M cash, 12.9% D/E) provided runway but the company required continued capital raises or a partner to commercialize anito-cel at scale. Glassdoor reviews describing toxic culture and organizational dysfunction present integration challenges for Gilead post-acquisition [2]. The $5 CVR requires $6B in cumulative anito-cel sales through 2029 — an aggressive target given the competitive CAR-T landscape where BMS (Abecma) and J&amp;J/Legend (Carvykti) are already commercially established. The December 2026 PDUFA decision represents the next binary catalyst, now under Gilead's ownership.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FDA PDUFA target action date of December 23, 2026 for anito-cel BLA in relapsed/refractory multiple myeloma — approval would enable commercial launch under Gilead/Kite infrastructure</w:t>
      </w:r>
    </w:p>
    <w:p>
      <w:pPr>
        <w:spacing w:before="40" w:after="40"/>
        <w:ind w:left="283"/>
      </w:pPr>
      <w:r>
        <w:rPr>
          <w:rFonts w:ascii="Calibri" w:hAnsi="Calibri"/>
          <w:b/>
          <w:color w:val="4A6B25"/>
          <w:sz w:val="20"/>
        </w:rPr>
        <w:t xml:space="preserve">2. </w:t>
      </w:r>
      <w:r>
        <w:rPr>
          <w:rFonts w:ascii="Calibri" w:hAnsi="Calibri"/>
          <w:b w:val="0"/>
          <w:color w:val="3A4A28"/>
          <w:sz w:val="20"/>
        </w:rPr>
        <w:t>CVR payout of $5/share if cumulative global net sales of anito-cel reach $6B through year-end 2029, providing upside for former ACLX shareholders who retained CVRs</w:t>
      </w:r>
    </w:p>
    <w:p>
      <w:pPr>
        <w:spacing w:before="40" w:after="40"/>
        <w:ind w:left="283"/>
      </w:pPr>
      <w:r>
        <w:rPr>
          <w:rFonts w:ascii="Calibri" w:hAnsi="Calibri"/>
          <w:b/>
          <w:color w:val="4A6B25"/>
          <w:sz w:val="20"/>
        </w:rPr>
        <w:t xml:space="preserve">3. </w:t>
      </w:r>
      <w:r>
        <w:rPr>
          <w:rFonts w:ascii="Calibri" w:hAnsi="Calibri"/>
          <w:b w:val="0"/>
          <w:color w:val="3A4A28"/>
          <w:sz w:val="20"/>
        </w:rPr>
        <w:t>ACLX-001 and ACLX-002 Phase 1 data readouts could expand the ddCAR platform value beyond myeloma into AML/MDS, supporting the broader Gilead cell therapy franchise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FDA approval risk — a Complete Response Letter on anito-cel's December 2026 PDUFA date would undermine the core commercial thesis and CVR value for former shareholders</w:t>
      </w:r>
    </w:p>
    <w:p>
      <w:pPr>
        <w:spacing w:before="40" w:after="40"/>
        <w:ind w:left="283"/>
      </w:pPr>
      <w:r>
        <w:rPr>
          <w:rFonts w:ascii="Calibri" w:hAnsi="Calibri"/>
          <w:b/>
          <w:color w:val="4A6B25"/>
          <w:sz w:val="20"/>
        </w:rPr>
        <w:t xml:space="preserve">2. </w:t>
      </w:r>
      <w:r>
        <w:rPr>
          <w:rFonts w:ascii="Calibri" w:hAnsi="Calibri"/>
          <w:b w:val="0"/>
          <w:color w:val="3A4A28"/>
          <w:sz w:val="20"/>
        </w:rPr>
        <w:t>Competitive CAR-T landscape intensifying — BMS Abecma and J&amp;J/Legend Carvykti have commercial head starts, and next-generation bispecific antibodies may limit anito-cel market penetration</w:t>
      </w:r>
    </w:p>
    <w:p>
      <w:pPr>
        <w:spacing w:before="40" w:after="40"/>
        <w:ind w:left="283"/>
      </w:pPr>
      <w:r>
        <w:rPr>
          <w:rFonts w:ascii="Calibri" w:hAnsi="Calibri"/>
          <w:b/>
          <w:color w:val="4A6B25"/>
          <w:sz w:val="20"/>
        </w:rPr>
        <w:t xml:space="preserve">3. </w:t>
      </w:r>
      <w:r>
        <w:rPr>
          <w:rFonts w:ascii="Calibri" w:hAnsi="Calibri"/>
          <w:b w:val="0"/>
          <w:color w:val="3A4A28"/>
          <w:sz w:val="20"/>
        </w:rPr>
        <w:t>Post-acquisition integration risk — Glassdoor reviews indicating cultural dysfunction may accelerate talent attrition as Arcellx's scientific team integrates into Gilead/Kite's larger organization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Cell therapy development and manufacturing is among the most AI-immune business models in existence — harvesting patient T-cells, genetically engineering them with CAR constructs, expanding them ex vivo, and reinfusing them involves physical biological processes that AI structurally cannot substitute [2]. The FDA regulatory pathway creates additional structural moats. The only minor exposure is that AI could accelerate competitors' drug discovery timelines, but this is competitive pressure, not business model disruption. Arcellx's ddCAR platform is proprietary and clinically validated, providing a meaningful moat against AI-accelerated competitors. AI Opportunity (0/1): No quantifiable AI revenue. While AI tools may assist with protein engineering and manufacturing optimization in the broader industry, Arcellx does not generate revenue from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Gilead Sciences Completes Acquisition of Arcellx — $115/share + $5 CVR, Closed April 28, 2026; iMMagine-1 Phase 2 Data (96% ORR, 74% CR/sCR); Consensus Revenue ~$2.5B by 2035 — BusinessWire / Gilead Investor Relations</w:t>
      </w:r>
    </w:p>
    <w:p>
      <w:pPr>
        <w:spacing w:before="20" w:after="20"/>
        <w:ind w:left="170"/>
      </w:pPr>
      <w:r>
        <w:rPr>
          <w:rFonts w:ascii="Calibri" w:hAnsi="Calibri"/>
          <w:b/>
          <w:color w:val="4A6B25"/>
          <w:sz w:val="15"/>
        </w:rPr>
        <w:t xml:space="preserve">2. </w:t>
      </w:r>
      <w:r>
        <w:rPr>
          <w:rFonts w:ascii="Calibri" w:hAnsi="Calibri"/>
          <w:b w:val="0"/>
          <w:color w:val="3A4A28"/>
          <w:sz w:val="17"/>
        </w:rPr>
        <w:t>Arcellx Company Website, Culture Page, and Glassdoor Reviews — Mission Statement, D-Domain Platform, Employee Feedback, accessed July 2026</w:t>
      </w:r>
    </w:p>
    <w:p>
      <w:pPr>
        <w:spacing w:before="20" w:after="20"/>
        <w:ind w:left="170"/>
      </w:pPr>
      <w:r>
        <w:rPr>
          <w:rFonts w:ascii="Calibri" w:hAnsi="Calibri"/>
          <w:b/>
          <w:color w:val="4A6B25"/>
          <w:sz w:val="15"/>
        </w:rPr>
        <w:t xml:space="preserve">3. </w:t>
      </w:r>
      <w:r>
        <w:rPr>
          <w:rFonts w:ascii="Calibri" w:hAnsi="Calibri"/>
          <w:b w:val="0"/>
          <w:color w:val="3A4A28"/>
          <w:sz w:val="17"/>
        </w:rPr>
        <w:t>MarketBeat / SEC Filings — ACLX Insider Transactions, CEO $10.2M Sale, CFO $2.6M Sales, February-March 2026</w:t>
      </w:r>
    </w:p>
    <w:p>
      <w:pPr>
        <w:spacing w:before="20" w:after="20"/>
        <w:ind w:left="170"/>
      </w:pPr>
      <w:r>
        <w:rPr>
          <w:rFonts w:ascii="Calibri" w:hAnsi="Calibri"/>
          <w:b/>
          <w:color w:val="4A6B25"/>
          <w:sz w:val="15"/>
        </w:rPr>
        <w:t xml:space="preserve">4. </w:t>
      </w:r>
      <w:r>
        <w:rPr>
          <w:rFonts w:ascii="Calibri" w:hAnsi="Calibri"/>
          <w:b w:val="0"/>
          <w:color w:val="3A4A28"/>
          <w:sz w:val="17"/>
        </w:rPr>
        <w:t>Stock Analysis / Yahoo Finance — ACLX Key Statistics (D/E 12.9%, ROE -53.4%, Revenue $76.8M TTM), Pre-Delisting Data April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