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ACRS</w:t>
      </w:r>
      <w:r>
        <w:rPr>
          <w:rFonts w:ascii="Calibri" w:hAnsi="Calibri"/>
          <w:b/>
          <w:color w:val="1A2010"/>
          <w:sz w:val="40"/>
        </w:rPr>
        <w:t xml:space="preserve">  Aclaris Therapeutics, Inc.</w:t>
      </w:r>
    </w:p>
    <w:p>
      <w:pPr>
        <w:spacing w:after="120"/>
      </w:pPr>
      <w:r>
        <w:rPr>
          <w:rFonts w:ascii="Calibri" w:hAnsi="Calibri"/>
          <w:b/>
          <w:color w:val="6E8450"/>
          <w:sz w:val="18"/>
        </w:rPr>
        <w:t>GROWTH SLEEVE · 2026-09-08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Aclaris Therapeutics is a clinical-stage biopharmaceutical company developing novel drug candidates for immuno-inflammatory diseases, with a pipeline anchored by dual kinase inhibitor platform technology targeting ITK, JAK3, and TXK pathways. Lead candidates include bosakitug (ATI-045, anti-IL-13 bispecific antibody) in Phase 2 for atopic dermatitis with topline results expected October 2026, ATI-2138 (dual ITK/JAK3 inhibitor) in Phase 2a, ATI-052 in Phase 1b for asthma and atopic dermatitis, ATI-9494 (oral dual ITK/TXK inhibitor), and lepzacitinib for atopic dermatitis. As of Q2 2026, cash and marketable securities totaled $170.6M with runway through 2028, supplemented by $40.2M raised via at-the-market offering post-quarter. Q2 2026 net loss was $21.5M on TTM revenue of $7.8M. Market cap is approximately $633M.</w:t>
      </w:r>
    </w:p>
    <w:p>
      <w:r>
        <w:rPr>
          <w:rFonts w:ascii="Calibri" w:hAnsi="Calibri"/>
          <w:b/>
          <w:color w:val="6E8450"/>
          <w:sz w:val="18"/>
        </w:rPr>
        <w:t>100 Employees · https://www.aclaristx.com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Aclaris has developed a proprietary dual kinase inhibitor platform targeting ITK, JAK3, and TXK pathways — a differentiated approach in the crowded immuno-inflammatory space [2]. The company pivoted from narrow dermatology indications (alopecia areata, warts) to a broader immuno-inflammatory focus, refocusing the pipeline on higher-value indications. However, no products have been launched to market, and the strategic refocus — while scientifically motivated — has not yet generated revenue or market presence. AI Deployment (0/2): No AI deployment in drug discovery, clinical trials, or operations. The company uses conventional drug development approaches without AI-powered discovery or clinical optimization tools. Market Share (0/2): Pre-commercial company with no marketed products and therefore no market share; the company's value lies entirely in its clinical pipeline and the data it generates [2]. Product Pipeline (2/2): Specific drug candidates with clear timelines and visibility: bosakitug (ATI-045) Phase 2 topline results expected October 1, 2026; ATI-052 Phase 1b proof-of-concept data in both asthma and atopic dermatitis expected H2 2026; ATI-2138 in Phase 2a for T cell-mediated autoimmune diseases; ATI-9494 as an oral dual ITK/TXK inhibitor in development [2]. Three distinct clinical data readouts in 2026 provide near-term catalysts with specific dates. R&amp;D Intensity (1/1): As a clinical-stage biotech, virtually all spending is R&amp;D-related — drug development is the entire business, placing Aclaris in the top quartile of R&amp;D intensity by definition.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Aclaris is focused on developing novel drug candidates for immuno-inflammatory diseases — a genuine purpose connecting the company's work to improving health outcomes for patients with serious conditions [2]. However, this mission is standard for clinical-stage biotechs and doesn't articulate a distinctive vision that differentiates Aclaris from dozens of peers also targeting immuno-inflammatory diseases. Community Impact (0/2): No evidence of distinctive charitable programs or community investment initiatives beyond standard biotech industry participation. Employee Retention (0/2): CEO transition in January 2024 when Douglas Manion stepped down and co-founder Neal Walker was appointed [3]. The company is small (~100 employees). No specific retention or tenure data available to assess organizational stability. Insider Buying (2/2): Director Anand Mehra purchased $1.5M worth of shares at $2.25 each — a significant personal investment demonstrating meaningful conviction in the pipeline's potential at a price representing substantial personal risk [4]. This is notable insider buying by a board member, though partially offset by BML Investment Partners (10% holder Michael Leonard) selling 300,000 shares at $4.53.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Growth-sleeve metrics. As a pre-commercial clinical-stage biotech, Aclaris scores zero on all calculable infrastructure metrics. ROE is estimated at approximately -32% based on TTM net loss of -$64.9M against estimated book equity, scoring 0 with 2x growth weight [5]. Profit margin is approximately -832% ($64.9M TTM loss on $7.8M TTM collaboration revenue), scoring 0 [5]. Forward P/E, PEG ratio, D/E, and revenue growth figures are either unavailable or not meaningful for a company whose revenue is minimal collaboration income rather than product sales and were excluded from calculation. The company's $170.6M cash position (supplemented by $40.2M raised post-quarter) provides runway through 2028 [1] — genuine financial strength that the infrastructure algorithm cannot capture because it measures profitability and valuation rather than cash reserves. The stock clears the liquidity floor at approximately $8.5M daily dollar volume (1.88M shares x $4.50).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Aclaris occupies the lower boundary of infinite-game thinking. The company has a genuine purpose — developing novel therapies for patients with immuno-inflammatory diseases — and has shown strategic flexibility in pivoting from narrow dermatology to broader immuno-inflammatory focus [2]. Co-founder Neal Walker's return as CEO brings founder-level commitment [3]. However, the company lacks a distinctive Just Cause, the CEO transition from Manion was abrupt rather than planned, and the pre-commercial stage means the company hasn't yet demonstrated the organizational depth or consistency of purpose through crisis that Sinek requires for higher scores. Aclaris plays to keep playing (funded through 2028, diversified pipeline) but has not yet proven it is built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Aclaris's purpose — developing novel therapeutics for immuno-inflammatory diseases — is genuine but not distinctive [2]. The company's commitment to its dual kinase inhibitor platform and multi-indication pipeline shows scientific conviction, and the pivot from dermatology to broader immuno-inflammatory focus was driven by scientific opportunity rather than desperation. However, the mission could describe any of dozens of immuno-inflammatory biotech companies, and it does not articulate a Just Cause in Sinek's terms — a vision of a future state so appealing people sacrifice to advance 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Co-founder Neal Walker was appointed CEO in early 2024 after Douglas Manion's departure, bringing founder-level commitment to the organization [3]. The expanded leadership team — President Hugh M. Davis, CMO Jesse Hall, CSO Roland Kolbeck — provides functional stability [3]. Small team size (~100 employees) creates natural cohesion and accountability. However, the CEO transition was reactive (Manion's departure was by 'mutual agreement') rather than a planned succession, and no exceptional evidence of trust-building organizational practices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learning or acknowledgment of rivals' strengths. In the competitive immuno-inflammatory space, Aclaris positions its dual kinase inhibitor mechanism as differentiated from Dupixent (Regeneron/Sanofi) and existing JAK inhibitors, but the framing is about technical superiority rather than learning from competitors' clinical and commercial success.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Aclaris pivoted from a narrow dermatology focus (alopecia areata, common warts) to a broader immuno-inflammatory platform targeting atopic dermatitis, asthma, and T cell-mediated autoimmune diseases [2]. This represents meaningful strategic adaptation driven by scientific opportunity — the dual kinase inhibitor platform revealed broader therapeutic potential that justified expanding beyond dermatology. An incremental evolution rather than transformative reinvention, but a genuine strategic shift that reoriented the entire pipeline.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company continues funding a diversified pipeline with multiple simultaneous clinical programs despite being pre-commercial with annual losses of approximately $65M [1][2]. The decision to raise $40.2M via ATM after Q2 to extend runway demonstrates commitment to advancing all clinical programs rather than retreating to a single-asset strategy. Co-founder Walker's return as CEO signals personal conviction in the pipeline. However, this is largely standard clinical-stage biotech behavior — investing in the pipeline is the business, not a courageous departure from convention.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Aclaris offers asymmetric upside as a clinical-stage biotech with three Phase 1-2 data readouts expected in H2 2026 — bosakitug Phase 2 topline results (October 1, 2026) and ATI-052 Phase 1b proof-of-concept data in both asthma and atopic dermatitis [2]. The $633M market cap implies the market is pricing limited probability of success, creating significant upside if clinical data is positive in the combined $15B+ atopic dermatitis and asthma markets. The dual kinase inhibitor platform (ITK/JAK3/TXK) is differentiated from existing therapies, targeting root T cell pathology rather than downstream inflammation. Cash of $170.6M plus $40.2M raised post-quarter provides runway through 2028, eliminating near-term financing risk [1]. Director Anand Mehra's $1.5M personal investment at $2.25/share signals insider conviction in the pipeline's potential [4]. Inspire Impact Score of 35 (ALIGNED) adds faith-based investor appeal.</w:t>
      </w:r>
    </w:p>
    <w:p>
      <w:pPr>
        <w:spacing w:after="120"/>
      </w:pPr>
      <w:r>
        <w:rPr>
          <w:rFonts w:ascii="Calibri" w:hAnsi="Calibri"/>
          <w:b w:val="0"/>
          <w:color w:val="3A4A28"/>
          <w:sz w:val="20"/>
        </w:rPr>
        <w:t>The fundamental risk is binary clinical outcomes — a negative bosakitug Phase 2 readout in October 2026 could destroy 30-50% of market cap overnight, and the company has no commercial revenue to cushion failure [2]. TTM revenue of $7.8M against a $64.9M annual burn rate means the company is entirely dependent on clinical success and capital markets access [5]. The immuno-inflammatory space is intensely competitive: Dupixent (Regeneron/Sanofi) generates $13B+ annually, multiple JAK inhibitors (AbbVie's Rinvoq, Pfizer's Cibinqo) are established, and dozens of pipeline candidates target the same patient populations — even positive Phase 2 data may not differentiate sufficiently for commercial success. Infrastructure scores 0/10 because the GAAP-based algorithm penalizes pre-commercial biotechs with no meaningful revenue and massive losses, though the $210.8M cash position represents genuine financial strength not captured by the scoring framework. The CEO transition from Manion to Walker is stabilizing but untested through a clinical failure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Bosakitug (ATI-045) Phase 2 topline results expected October 1, 2026 in atopic dermatitis — positive data in this $10B+ market could catalyze a significant rerating and validate the bispecific antibody approach for immuno-inflammatory disease [2]</w:t>
      </w:r>
    </w:p>
    <w:p>
      <w:pPr>
        <w:spacing w:before="40" w:after="40"/>
        <w:ind w:left="283"/>
      </w:pPr>
      <w:r>
        <w:rPr>
          <w:rFonts w:ascii="Calibri" w:hAnsi="Calibri"/>
          <w:b/>
          <w:color w:val="4A6B25"/>
          <w:sz w:val="20"/>
        </w:rPr>
        <w:t xml:space="preserve">2. </w:t>
      </w:r>
      <w:r>
        <w:rPr>
          <w:rFonts w:ascii="Calibri" w:hAnsi="Calibri"/>
          <w:b w:val="0"/>
          <w:color w:val="3A4A28"/>
          <w:sz w:val="20"/>
        </w:rPr>
        <w:t>ATI-052 Phase 1b proof-of-concept data in both asthma and atopic dermatitis expected H2 2026 — two readouts from a single molecule in different indications could demonstrate platform breadth and attract partnership interest from large pharma [2]</w:t>
      </w:r>
    </w:p>
    <w:p>
      <w:pPr>
        <w:spacing w:before="40" w:after="40"/>
        <w:ind w:left="283"/>
      </w:pPr>
      <w:r>
        <w:rPr>
          <w:rFonts w:ascii="Calibri" w:hAnsi="Calibri"/>
          <w:b/>
          <w:color w:val="4A6B25"/>
          <w:sz w:val="20"/>
        </w:rPr>
        <w:t xml:space="preserve">3. </w:t>
      </w:r>
      <w:r>
        <w:rPr>
          <w:rFonts w:ascii="Calibri" w:hAnsi="Calibri"/>
          <w:b w:val="0"/>
          <w:color w:val="3A4A28"/>
          <w:sz w:val="20"/>
        </w:rPr>
        <w:t>$210.8M cash position ($170.6M + $40.2M ATM) provides runway through 2028 without dilutive financing, allowing the company to advance all clinical programs to data-driven inflection points before needing additional capital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from bosakitug Phase 2 readout in October 2026 — a miss on efficacy endpoints in atopic dermatitis could destroy 30-50% of market cap, as the stock is primarily valued on pipeline potential with no commercial revenue backstop [2]</w:t>
      </w:r>
    </w:p>
    <w:p>
      <w:pPr>
        <w:spacing w:before="40" w:after="40"/>
        <w:ind w:left="283"/>
      </w:pPr>
      <w:r>
        <w:rPr>
          <w:rFonts w:ascii="Calibri" w:hAnsi="Calibri"/>
          <w:b/>
          <w:color w:val="4A6B25"/>
          <w:sz w:val="20"/>
        </w:rPr>
        <w:t xml:space="preserve">2. </w:t>
      </w:r>
      <w:r>
        <w:rPr>
          <w:rFonts w:ascii="Calibri" w:hAnsi="Calibri"/>
          <w:b w:val="0"/>
          <w:color w:val="3A4A28"/>
          <w:sz w:val="20"/>
        </w:rPr>
        <w:t>Pre-commercial cash burn of approximately $65M annually against $7.8M TTM revenue means the company must either achieve clinical success that attracts a partner or acquirer, or return to capital markets for additional dilutive financing before the 2028 runway expires [1][5]</w:t>
      </w:r>
    </w:p>
    <w:p>
      <w:pPr>
        <w:spacing w:before="40" w:after="40"/>
        <w:ind w:left="283"/>
      </w:pPr>
      <w:r>
        <w:rPr>
          <w:rFonts w:ascii="Calibri" w:hAnsi="Calibri"/>
          <w:b/>
          <w:color w:val="4A6B25"/>
          <w:sz w:val="20"/>
        </w:rPr>
        <w:t xml:space="preserve">3. </w:t>
      </w:r>
      <w:r>
        <w:rPr>
          <w:rFonts w:ascii="Calibri" w:hAnsi="Calibri"/>
          <w:b w:val="0"/>
          <w:color w:val="3A4A28"/>
          <w:sz w:val="20"/>
        </w:rPr>
        <w:t>Intense competition in the immuno-inflammatory space from Dupixent ($13B+ annual sales), established JAK inhibitors (Rinvoq, Cibinqo), and dozens of pipeline candidates targeting similar patient populations could limit commercial opportunity even with positive clinical data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Aclaris's core business — developing novel small and large molecule therapeutics through clinical trials — is a physical and biological process that AI structurally cannot replace [2]. Drug candidates require physical synthesis, animal models, and human clinical trials with real patients; FDA regulatory approval demands extensive clinical evidence that cannot be generated synthetically. The company's dual kinase inhibitor platform represents proprietary biology and clinical data that AI cannot easily replicate. However, AI-enabled drug discovery companies (Recursion, Isomorphic Labs, Insilico Medicine) are compressing the timeline for competitors to identify similar molecules, potentially eroding the first-mover advantage that early-stage biotech traditionally enjoys. AI could also accelerate competitors' ability to design optimized therapeutic antibodies and small molecules targeting ITK/JAK3 pathways, creating faster-follower risk for Aclaris's pipeline. AI Opportunity (0/1): No AI revenue generated. The company uses conventional drug development approaches without AI-powered discovery or clinical optimization tools.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Aclaris Therapeutics Q2 2026 Earnings — Net loss $21.5M, cash/marketable securities $170.6M, runway through 2028, $40.2M raised via ATM post-quarter-end, BioSpace/GlobeNewsWire,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Aclaris Pipeline Update — Bosakitug Phase 2 topline October 1, 2026; ATI-052 Phase 1b POC in asthma and atopic dermatitis H2 2026; ATI-2138 dual ITK/JAK3 Phase 2a; ATI-9494 oral dual ITK/TXK; lepzacitinib, Investor.AclarisTx.com, 2026</w:t>
      </w:r>
    </w:p>
    <w:p>
      <w:pPr>
        <w:spacing w:before="20" w:after="20"/>
        <w:ind w:left="170"/>
      </w:pPr>
      <w:r>
        <w:rPr>
          <w:rFonts w:ascii="Calibri" w:hAnsi="Calibri"/>
          <w:b/>
          <w:color w:val="4A6B25"/>
          <w:sz w:val="15"/>
        </w:rPr>
        <w:t xml:space="preserve">3. </w:t>
      </w:r>
      <w:r>
        <w:rPr>
          <w:rFonts w:ascii="Calibri" w:hAnsi="Calibri"/>
          <w:b w:val="0"/>
          <w:color w:val="3A4A28"/>
          <w:sz w:val="17"/>
        </w:rPr>
        <w:t>Aclaris Leadership — CEO Dr. Neal Walker (co-founder, appointed February 2025), President Hugh M. Davis, CMO Jesse Hall, CSO Roland Kolbeck, leadership transition from Douglas Manion, Investor.AclarisTx.com, 2024-2025</w:t>
      </w:r>
    </w:p>
    <w:p>
      <w:pPr>
        <w:spacing w:before="20" w:after="20"/>
        <w:ind w:left="170"/>
      </w:pPr>
      <w:r>
        <w:rPr>
          <w:rFonts w:ascii="Calibri" w:hAnsi="Calibri"/>
          <w:b/>
          <w:color w:val="4A6B25"/>
          <w:sz w:val="15"/>
        </w:rPr>
        <w:t xml:space="preserve">4. </w:t>
      </w:r>
      <w:r>
        <w:rPr>
          <w:rFonts w:ascii="Calibri" w:hAnsi="Calibri"/>
          <w:b w:val="0"/>
          <w:color w:val="3A4A28"/>
          <w:sz w:val="17"/>
        </w:rPr>
        <w:t>Aclaris Insider Activity — Director Anand Mehra purchased $1.5M in shares at $2.25/share; BML Investment Partners (Michael Leonard) sold 300,000 shares at $4.53, SEC Form 4 filings,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ACRS key statistics: stock price $4.50, market cap $632.68M, TTM revenue $7.8M, TTM net income -$64.9M, avg daily volume 1.88M,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