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ACXP</w:t>
      </w:r>
      <w:r>
        <w:rPr>
          <w:rFonts w:ascii="Calibri" w:hAnsi="Calibri"/>
          <w:b/>
          <w:color w:val="1A2010"/>
          <w:sz w:val="40"/>
        </w:rPr>
        <w:t xml:space="preserve">  Acurx Pharmaceuticals,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2026-09-03 · Inspire: 31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44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Biotechnology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Acurx Pharmaceuticals is a clinical-stage biopharmaceutical company developing a new class of small molecule antibiotics for difficult-to-treat bacterial infections. Its lead candidate, ibezapolstat, is a first-in-class oral DNA polymerase IIIC inhibitor targeting Clostridioides difficile infection (CDI). Phase 2 data demonstrated a 96% cure rate with zero recurrences. The company launched a 20-patient rCDI pilot study in August 2026 and is exploring a potential one-trial registration pathway with the FDA. CEO David Luci leads the ~10-person team from its base in Staten Island, NY.</w:t>
      </w:r>
    </w:p>
    <w:p>
      <w:r>
        <w:rPr>
          <w:rFonts w:ascii="Calibri" w:hAnsi="Calibri"/>
          <w:b/>
          <w:color w:val="6E8450"/>
          <w:sz w:val="18"/>
        </w:rPr>
        <w:t>10 Employees · https://www.acurxpharma.com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Ibezapolstat is a genuinely novel mechanism — the first DNA polymerase IIIC inhibitor in clinical development — and Phase 2 data demonstrated a 96% clinical cure rate with zero recurrences in cured patients, significantly superior to vancomycin [1][2]. The compound has earned both QIDP and Fast Track designations from the FDA, validating the mechanism's clinical promise. This represents a significant clinical milestone, though no products have reached market. AI Deployment (0/2): No AI capabilities deployed. This is a traditional small-molecule drug development company. Market Share (0/2): Pre-commercial stage with no approved products or market presence. Product Pipeline (2/2): Specific and visible next steps: a 20-patient open-label rCDI pilot study launched with first enrollment around August 2026, designed to inform the pivotal Phase 3 trial design [2]. The FDA is reviewing whether ibezapolstat qualifies for a one-trial registration standard based on existing confirmatory evidence, which could accelerate the approval timeline significantly. Pipeline includes early-stage ACX-375C. R&amp;D Intensity (1/1): R&amp;D spending represents the vast majority of the company's expenditure ($1.1M in Q2 2026 alone vs. $0.5M prior year), reflecting 100% R&amp;D focus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Acurx addresses a genuine public health crisis — C. difficile causes approximately 500,000 infections and 20,000 deaths annually in the U.S., and antibiotic resistance is a WHO-designated global threat [1]. The company's mission to develop microbiome-sparing antibiotics through its Gram-Positive Selective Spectrum (GPSS) platform is specific, thoughtful, and connects drug development to a larger purpose of combating antimicrobial resistance. CEO David Luci has consistently articulated this purpose across his career in antibiotic development, including prior leadership at Dipexium Pharmaceuticals [4]. Community Impact (1/2): The company's work directly addresses underserved patient populations with life-threatening infections. Developing novel antibiotics where commercial incentives are weak represents meaningful public health contribution, though no specific charitable programs were identified. Employee Retention (1/2): CEO David Luci has led the company since its founding in 2018, providing consistent leadership through the IPO and clinical development process. However, with ~10 employees and heavy CRO reliance, organizational culture data is limited [4]. Insider Buying (0/2): No evidence of significant net insider buying identified in public filings.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LIQUIDITY FLOOR TRIGGERED: Average daily volume of approximately 119,000 shares at an estimated stock price of ~$1.48 yields daily dollar volume of approximately $176,000, which falls below the $1,000,000 minimum threshold. Infrastructure score is set to 0 per the liquidity floor rule. Underlying fundamentals reflect a pre-revenue clinical-stage biotech: no debt (D/E 0%), ROE of approximately -36%, and no meaningful revenue. Q2 2026 net loss was $2.3M ($0.53/share) versus $2.2M ($1.89/share) in Q2 2025 — reduced per-share loss reflects dilution from equity raises [3]. Cash of $10.7M at June 30, 2026, supported by a $2.5M registered direct offering and $0.8M equity line during Q2 [3]. At the current burn rate (~$2M/quarter), cash runway is approximately 5 quarters. Market cap of ~$10M is extremely small.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Acurx demonstrates meaningful infinite-game characteristics through its pursuit of a genuinely important public health mission — combating antibiotic-resistant C. difficile — and CEO Luci's willingness to invest over a decade in novel antibiotic development when commercial incentives in the space are weak. The 96% Phase 2 cure rate validates the patience of a long-term approach. However, the company's extreme concentration in a single clinical asset, micro-cap status (~$10M), and dependence on dilutive capital markets for survival introduce finite pressures that constrain strategic flexibility. A Phase 3 failure would be existential.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Combating antibiotic-resistant infections and preserving the gut microbiome represents a genuine, advance-oriented cause that connects the company's work to a larger public health purpose [1]. C. difficile kills 20,000 Americans annually, and antimicrobial resistance is a WHO-designated existential threat. The GPSS platform addresses this with a novel approach. However, the cause hasn't been tested through multi-decade consistency or leadership transitions — the company was founded in 2018 and has a single clinical asset.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With approximately 10 employees and heavy reliance on contract research organizations, Acurx operates as a virtual pharmaceutical company rather than a team-driven organization [4]. Limited public information on internal culture, employee retention, or team dynamics. The small size inherently limits the depth of trusting-team infrastructure. No evidence of exceptional cultural practices or employee empowerment.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(1/1): Acurx competes against established CDI therapies including vancomycin, fidaxomicin, Merck's bezlotoxumab, and Ferring's Rebyota (live fecal microbiota). The company's differentiation strategy — microbiome-sparing oral antibiotic — demonstrates clear understanding of what existing therapies do poorly (microbiome disruption leading to recurrence) and positions ibezapolstat's mechanism as a direct response to competitors' shortcomings [1]. This reflects a competitive posture oriented toward self-improvement.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Acurx has shown some adaptability by exploring the FDA's potential one-trial registration standard to accelerate ibezapolstat's path to approval, and by launching the rCDI pilot study to expand the drug's addressable population beyond initial CDI [2]. The GPSS platform could theoretically yield additional candidates (ACX-375C is in early development). However, the company's near-total dependence on ibezapolstat's clinical success represents significant existential rigidity — a Phase 3 failure would be catastrophic.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CEO David Luci has pursued a first-in-class antibiotic mechanism as a micro-cap company, persisting through years of clinical development when most investors and larger pharma companies have abandoned the antibiotic space due to poor commercial returns [4]. The increase in R&amp;D spending from $0.5M to $1.1M in Q2 2026 demonstrates willingness to invest in long-term clinical capability [3]. However, strategic decision-making is constrained by limited resources and capital market dependence.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Acurx Pharmaceuticals offers a high-risk, high-reward proposition centered on ibezapolstat, a first-in-class oral DNA polymerase IIIC inhibitor for C. difficile infection with Phase 2 data showing a 96% cure rate and zero recurrences — dramatically superior to the vancomycin standard of care [1][2]. The FDA Fast Track and QIDP designations (providing 5 additional years of market exclusivity) validate the mechanism's clinical promise. A potential one-trial registration pathway, if confirmed by the FDA, could significantly accelerate the timeline to approval in a $5B+ CDI market where recurrence remains the primary unmet need. The rCDI pilot study launching August 2026 expands the addressable patient population to multiply recurrent cases, the highest-value segment [2]. The Inspire Impact Score of 31 (ALIGNED) adds appeal for faith-based investors.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dominated by the realities of micro-cap biotech investing. The $10M market cap, daily liquidity of ~$176K (failing the IOWN liquidity floor), and ~5 quarters of cash runway create severe constraints [3]. The company has relied on dilutive equity raises ($2.5M direct offering + $0.8M equity line in Q2 2026 alone, with warrants for 1.65M additional shares), and further dilution is certain before any potential approval. Infrastructure scores 0 due to the liquidity floor, making position sizing extremely difficult. While the Phase 2 data is compelling, the pivotal trial is still in the pilot study phase — topline Phase 3 data is likely 2-3 years away, during which the company must raise additional capital. Single-asset concentration means a clinical failure is existential. Q2 2026 net loss of $2.3M on a $10M market cap illustrates the cash burn pressure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rCDI pilot study (20-patient, open-label) with enrollment beginning August 2026 — positive results could expand the addressable market to multiply recurrent CDI, the highest-value patient segment with the greatest unmet need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FDA meeting to determine if ibezapolstat qualifies for one-trial registration standard based on existing confirmatory evidence — a positive outcome could cut years off the development timeline and reduce capital requirements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Potential partnership or licensing deal with a larger pharmaceutical company to fund the pivotal Phase 3 trial, validate the asset, and provide commercial infrastructure for an eventual launch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Binary Phase 3 outcome risk — a failed or inconclusive pivotal trial would be catastrophic given single-asset concentration, $10M market cap, and limited cash runway of ~5 quarters at current burn rates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Severe liquidity constraints with daily dollar volume of ~$176K (failing IOWN's $1M liquidity floor), making position entry/exit difficult and exposing holders to significant slippage and illiquidity risk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Ongoing dilution from equity offerings needed to fund operations — Q2 2026 alone included a $2.5M direct offering, $0.8M equity line, and warrants for 1.65M shares, compressing per-share value for existing holders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(6/9): AI poses minimal direct threat to Acurx's core asset — ibezapolstat is a physical small-molecule antibiotic with a well-characterized mechanism of action, and AI cannot displace a pharmaceutical compound that must be physically ingested to treat C. difficile infection [1]. The regulatory pathway (Phase 3 trials, FDA approval) remains a multi-year moat regardless of AI advances in drug discovery. However, AI-driven drug discovery platforms could theoretically accelerate competitors' development of rival CDI therapies or identify alternative treatment modalities, presenting indirect competitive risk. The PROTECTED designation reflects the physical/regulatory moats but acknowledges the competitive acceleration risk from AI-enabled rival development pipelines. AI Opportunity (0/1): Acurx has no AI capabilities and generates no AI-related revenue. The company's ~10-person team and $10M market cap severely limit its ability to invest in AI for clinical trial optimization or manufacturing.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31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Acurx Pharmaceuticals Phase 2 Data and Clinical Program — Ibezapolstat 96% Cure Rate, Zero Recurrences, QIDP/Fast Track Designations — Acurx Newsroom, BioSpace,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Acurx rCDI Pilot Study and FDA Regulatory Pathway — 20-Patient Open-Label Study Enrolling August 2026, One-Trial Registration Standard Discussion — PR Newswire, StockStotrade, BioSpace,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Acurx Q2 FY2026 Financial Results — Net Loss $2.3M, Cash $10.7M, R&amp;D $1.1M, $2.5M Direct Offering, Warrants for 1.65M Shares — StockTitan, PR Newswire,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Acurx Leadership — CEO David Luci (Co-Founder, Former Dipexium Pharmaceuticals CEO), Management Team and Corporate Governance — Acurx IR, LinkedIn,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