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ADM</w:t>
      </w:r>
      <w:r>
        <w:rPr>
          <w:rFonts w:ascii="Calibri" w:hAnsi="Calibri"/>
          <w:b/>
          <w:color w:val="1A2010"/>
          <w:sz w:val="40"/>
        </w:rPr>
        <w:t xml:space="preserve">  Archer-Daniels-Midland Company</w:t>
      </w:r>
    </w:p>
    <w:p>
      <w:pPr>
        <w:spacing w:after="120"/>
      </w:pPr>
      <w:r>
        <w:rPr>
          <w:rFonts w:ascii="Calibri" w:hAnsi="Calibri"/>
          <w:b/>
          <w:color w:val="6E8450"/>
          <w:sz w:val="18"/>
        </w:rPr>
        <w:t>DIVIDEND SLEEVE · 2026-08-30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Agricultural Products · NYSE · United States</w:t>
      </w:r>
    </w:p>
    <w:p>
      <w:pPr>
        <w:spacing w:after="80"/>
      </w:pPr>
      <w:r>
        <w:rPr>
          <w:rFonts w:ascii="Calibri" w:hAnsi="Calibri"/>
          <w:b w:val="0"/>
          <w:color w:val="3A4A28"/>
          <w:sz w:val="20"/>
        </w:rPr>
        <w:t>Archer-Daniels-Midland is one of the world's largest agricultural processors and food ingredient providers, operating in Ag Services &amp; Oilseeds, Carbohydrate Solutions, and Nutrition segments. ADM processes corn, soybeans, wheat, and other agricultural commodities into food ingredients, animal feed, bioenergy, and industrial products. The company reported Q2 2026 revenue of $22.68B (+7.2% YoY) with adjusted EPS of $1.84 (+98% YoY), raising FY2026 guidance to $5.15-$5.60 adjusted EPS driven by strong crushing and ethanol margins. ADM is a Dividend Aristocrat with 53 consecutive years of dividend growth and 94+ years of uninterrupted dividends. The company settled SEC accounting charges of $40M related to intersegment sales misreporting (2018-2023).</w:t>
      </w:r>
    </w:p>
    <w:p>
      <w:r>
        <w:rPr>
          <w:rFonts w:ascii="Calibri" w:hAnsi="Calibri"/>
          <w:b/>
          <w:color w:val="6E8450"/>
          <w:sz w:val="18"/>
        </w:rPr>
        <w:t>40,000 Employees · https://www.adm.com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ADM has evolved from a pure commodity processor to include a nutrition/specialty ingredients business through acquisitions (Wild Flavors, EVONIK amino acids, Neovia animal nutrition), but these have been bolt-on M&amp;A rather than organic product innovation [1]. The core business remains bulk agricultural commodity processing and trading, which is fundamentally unchanged over decades. Revenue has been essentially flat over 5 years (0.64% CAGR) as commodity price normalization offset volume gains. AI Deployment (0/2): No evidence of AI-powered products shipping to customers or specific AI-driven operational savings quantified in earnings disclosures. ADM references 'digital capabilities' and 'modernization' in strategic pillars but has not demonstrated measurable AI deployment outcomes [2]. Market Share (1/2): ADM is one of the four ABCD companies (ADM, Bunge, Cargill, Louis Dreyfus) that dominate global agricultural commodity trading and processing, with particularly strong positions in North American soybean crushing, corn processing, and ethanol production [1]. However, this is a maintained legacy position rather than share gains. Product Pipeline (0/2): No specific next-generation products with named launch dates and revenue visibility have been announced. The bioenergy segment benefits from U.S. Renewable Fuel Standard mandates (2026-2027 RVOs) but this is regulatory, not product innovation [1]. R&amp;D Intensity (0/1): ADM's R&amp;D spending relative to its $87B+ annual revenue is minimal — the company's competitive advantage is scale and logistics infrastructure, not technology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ADM's purpose — 'Unlocking the power of nature to enrich the quality of life' — is clear, connects agricultural processing to broader human benefit (feeding the world, nutrition, sustainability), and is specific to ADM's role in the food system [2]. The mission statement is thoughtful and differentiates somewhat from pure commodity peers. However, the SEC accounting scandal ($40M settlement for intersegment sales misreporting 2018-2023) and DOJ grand jury investigation fundamentally undermine the credibility of any stated purpose [3]. A company with a genuine Just Cause does not systematically misreport internal financial transfers for five years. Community Impact (1/2): ADM Foundation supports food security and nutrition programs in communities where the company operates. The company achieved CDP A-List recognition for climate action and received strong ESG ratings from multiple agencies [3]. However, the gap between ESG positioning and actual governance failures (accounting investigation) illustrates the limitations of sustainability commitments disconnected from internal integrity. Employee Retention (0/2): No specific employee turnover or retention data is publicly available. The accounting scandal and DOJ subpoenas directed at current and former employees create reasonable concern about organizational trust and morale.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ADM's infrastructure score is anchored by exceptional dividend metrics: 53 consecutive years of dividend growth (scoring full marks at 1x weight), 94+ consecutive years of uninterrupted payments (full marks at 2x weight), and a 5-year dividend CAGR of approximately 7% exceeding the 6% target (full marks at 2x weight) [4]. Conservative leverage with D/E of 46% scores full marks against the 70% target. Forward P/E of 14.98 scores full marks below the 20 target [4]. The primary drags are weak profitability: profit margin of 1.34% scores just 0.07 against the 20% target (agricultural processing is inherently low-margin), ROE of 4.77% scores 0.32 against the 15% target, and 5-year revenue CAGR of 0.64% scores 0.38 against the 10% target [4]. Revenue growth YoY of 7.2% in Q2 2026 scores 0.91, reflecting recovery from the commodity cycle trough [1]. Payout ratio of 56.45% scores 0.73. The stock clears the liquidity floor at ~$277M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ADM has endured for over 120 years, which superficially suggests infinite game orientation. However, the 2024 SEC accounting scandal — systematic misreporting of intersegment sales across multiple segments from 2018 to 2023, triggering a $40M SEC settlement and DOJ grand jury subpoenas to employees — reveals fundamentally finite thinking at the governance level [3]. A company playing an infinite game does not need to misrepresent its internal financial transfers to make the numbers work. The accounting manipulation was not a rogue employee incident but a systemic practice spanning five years across multiple reporting segments, undermining confidence in the entire organizational culture. While ADM's operational infrastructure and dividend record are impressive, Sinek would distinguish between survival (the company endures because of its physical assets) and infinite play (the company endures because of its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'Unlocking the power of nature to enrich the quality of life' is a reasonable purpose statement for an agricultural company, and ADM's 120+ year history of feeding the world demonstrates endurance [2]. However, the SEC accounting scandal (2018-2023 intersegment sales misreporting, $40M settlement) directly contradicts any claim that a Just Cause drives decision-making [3]. A company whose leadership tolerates systematic financial misrepresentation for five years is not being guided by a transcendent purpose — it is managing appearances. The strategic transformation into nutrition under CEO Luciano shows ambition, but 'Productivity, Innovation, and Culture' as strategic pillars are business objectives, not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SEC accounting investigation and DOJ grand jury subpoenas directed at current and former employees represent a severe breakdown in organizational trust [3]. When employees are receiving subpoenas for accounting practices that leadership oversaw, Sinek's 'Circle of Safety' has been fundamentally breached. The 2024 CFO replacement (former CFO Vikram Luthar was placed on leave) signals leadership accountability failure at the highest financial governance level. Employees at companies under federal investigation inevitably shift from advancing the cause to protecting themselves — the antithesis of a trusting team.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ADM's competitive posture within the ABCD oligopoly (ADM, Bunge, Cargill, Louis Dreyfus) is focused on market share defense and scale advantages rather than learning from rivals' strengths [1]. No evidence of management publicly acknowledging competitors' superior capabilities or framing competition as motivation for self-improvement. The competitive language centers on ADM's own scale, efficiency, and transformation rather than competitive humility.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ADM has evolved meaningfully over its 120+ year history — from a linseed crusher to a grain trader to a diversified agricultural processor to a nutrition and bioenergy company [2]. The expansion into specialty nutrition through acquisitions and the bioenergy pivot to capitalize on renewable fuel mandates demonstrate strategic adaptation. However, these transitions have been gradual and market-driven rather than the bold, purpose-driven pivots Sinek describes. The core commodity processing business remains fundamentally the same; the evolution has added adjacent segments rather than transforming the company's identity.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SEC accounting scandal fundamentally undermines any claim of courageous leadership [3]. When management oversees a system that misreports intersegment sales for five years, the leadership culture is optimizing for appearances rather than making costly choices in service of a higher purpose. CEO Luciano's nutrition transformation strategy required investment, but the governance failure on his watch overshadows operational decisions. The $40M SEC settlement and ongoing DOJ investigation suggest leadership chose financial cosmetics over integrity — the opposite of Sinek's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ADM at 14.98x forward earnings is a value recovery story with Q2 2026 demonstrating meaningful operational improvement — revenue of $22.68B (+7.2% YoY) and adjusted EPS of $1.84 (+98% YoY) driven by strong crushing margins and U.S. ethanol profitability following the finalization of 2026-2027 Renewable Fuel Standard obligations [1]. Upgraded FY2026 EPS guidance of $5.15-$5.60 (from $4.15-$4.70) signals the earnings trough is past. ADM's Dividend Aristocrat credentials — 53 consecutive years of dividend growth, 94+ years uninterrupted, $2.08 annual dividend yielding 2.62% — provide income stability. The company's physical infrastructure moat (grain elevators, processing plants, port terminals, global logistics network) is irreplaceable, and conservative leverage (D/E 46%) supports balance sheet flexibility.</w:t>
      </w:r>
    </w:p>
    <w:p>
      <w:pPr>
        <w:spacing w:after="120"/>
      </w:pPr>
      <w:r>
        <w:rPr>
          <w:rFonts w:ascii="Calibri" w:hAnsi="Calibri"/>
          <w:b w:val="0"/>
          <w:color w:val="3A4A28"/>
          <w:sz w:val="20"/>
        </w:rPr>
        <w:t>The bear case centers on the governance overhang, structural margin compression, and revenue stagnation. The SEC accounting scandal ($40M settlement for 2018-2023 intersegment sales misreporting) with ongoing DOJ investigation creates lingering governance risk that may deter institutional investors and compress the multiple [3]. Profit margin of 1.34% and ROE of 4.77% are far below targets, reflecting the inherently low-margin nature of commodity processing combined with the cyclical trough in agricultural commodity prices. The 5-year revenue CAGR of just 0.64% demonstrates that ADM has delivered essentially zero top-line growth despite the nutrition transformation effort — peak FY2022 revenue of ~$102B fell to ~$87B by FY2025 as commodity prices normalized. The payout ratio of 56.45% is elevated above the 40% target, and while the 53-year growth streak is impressive, future dividend increases may be constrained if margins do not expand. Analysts project only 8.1% forward revenue growth — below the 10% target for Infrastructure scoring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Renewable Fuel Standard 2026-2027 volume obligations finalized in March 2026 create a constructive margin environment for ADM's crushing and ethanol businesses, with adjusted EPS guidance raised to $5.15-$5.60 from $4.15-$4.70 [1]</w:t>
      </w:r>
    </w:p>
    <w:p>
      <w:pPr>
        <w:spacing w:before="40" w:after="40"/>
        <w:ind w:left="283"/>
      </w:pPr>
      <w:r>
        <w:rPr>
          <w:rFonts w:ascii="Calibri" w:hAnsi="Calibri"/>
          <w:b/>
          <w:color w:val="4A6B25"/>
          <w:sz w:val="20"/>
        </w:rPr>
        <w:t xml:space="preserve">2. </w:t>
      </w:r>
      <w:r>
        <w:rPr>
          <w:rFonts w:ascii="Calibri" w:hAnsi="Calibri"/>
          <w:b w:val="0"/>
          <w:color w:val="3A4A28"/>
          <w:sz w:val="20"/>
        </w:rPr>
        <w:t>Crushing margin recovery driven by strong soybean oil demand for renewable diesel feedstock and global protein meal demand could sustain the earnings improvement trajectory visible in Q2 2026's 98% EPS growth [1]</w:t>
      </w:r>
    </w:p>
    <w:p>
      <w:pPr>
        <w:spacing w:before="40" w:after="40"/>
        <w:ind w:left="283"/>
      </w:pPr>
      <w:r>
        <w:rPr>
          <w:rFonts w:ascii="Calibri" w:hAnsi="Calibri"/>
          <w:b/>
          <w:color w:val="4A6B25"/>
          <w:sz w:val="20"/>
        </w:rPr>
        <w:t xml:space="preserve">3. </w:t>
      </w:r>
      <w:r>
        <w:rPr>
          <w:rFonts w:ascii="Calibri" w:hAnsi="Calibri"/>
          <w:b w:val="0"/>
          <w:color w:val="3A4A28"/>
          <w:sz w:val="20"/>
        </w:rPr>
        <w:t>Resolution of the DOJ investigation and full accounting restatement completion would remove the governance discount and allow the stock to re-rate toward peer multiples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Ongoing DOJ grand jury investigation into accounting practices could result in criminal charges against employees or the company, creating an overhang that limits multiple expansion regardless of operational improvement [3]</w:t>
      </w:r>
    </w:p>
    <w:p>
      <w:pPr>
        <w:spacing w:before="40" w:after="40"/>
        <w:ind w:left="283"/>
      </w:pPr>
      <w:r>
        <w:rPr>
          <w:rFonts w:ascii="Calibri" w:hAnsi="Calibri"/>
          <w:b/>
          <w:color w:val="4A6B25"/>
          <w:sz w:val="20"/>
        </w:rPr>
        <w:t xml:space="preserve">2. </w:t>
      </w:r>
      <w:r>
        <w:rPr>
          <w:rFonts w:ascii="Calibri" w:hAnsi="Calibri"/>
          <w:b w:val="0"/>
          <w:color w:val="3A4A28"/>
          <w:sz w:val="20"/>
        </w:rPr>
        <w:t>Commodity cycle reversal — the current crushing margin strength depends on renewable fuel mandates and favorable soybean/corn supply dynamics that could reverse with policy changes or crop yield improvements, compressing the earnings recovery [1]</w:t>
      </w:r>
    </w:p>
    <w:p>
      <w:pPr>
        <w:spacing w:before="40" w:after="40"/>
        <w:ind w:left="283"/>
      </w:pPr>
      <w:r>
        <w:rPr>
          <w:rFonts w:ascii="Calibri" w:hAnsi="Calibri"/>
          <w:b/>
          <w:color w:val="4A6B25"/>
          <w:sz w:val="20"/>
        </w:rPr>
        <w:t xml:space="preserve">3. </w:t>
      </w:r>
      <w:r>
        <w:rPr>
          <w:rFonts w:ascii="Calibri" w:hAnsi="Calibri"/>
          <w:b w:val="0"/>
          <w:color w:val="3A4A28"/>
          <w:sz w:val="20"/>
        </w:rPr>
        <w:t>Structural margin compression in agricultural processing (1.34% profit margin, 4.77% ROE) limits ADM's ability to generate returns that justify capital allocation versus higher-margin businesses, despite the irreplaceable infrastructure moat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ADM's core business is structurally immune to AI disruption — the company operates physical grain elevators, oilseed crushing plants, ethanol refineries, port terminals, and a global transportation and logistics network that AI cannot replicate or displace [1]. Agricultural commodity processing requires massive physical infrastructure, proprietary logistics networks, and commodity trading expertise built over 120+ years. AI cannot grow soybeans, crush them into oil and meal, or ship them to customers. Increasing global food demand and bioenergy mandates increase demand for ADM's processing capacity. The regulatory environment (USDA inspection, EPA compliance, international trade regulations) creates additional barriers. The only vulnerability is that AI-optimized competitors could achieve marginal efficiency gains in trading and logistics, but ADM's scale and infrastructure moat dwarfs any such advantage. AI Opportunity (0/1): ADM does not generate meaningful revenue from AI products or services. The company references 'digital capabilities' in its strategic framework but has not quantified any AI-driven revenue contribution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ADM Q2 2026 Earnings — Revenue $22.68B (+7.2%), Adj. EPS $1.84 (+98%), FY2026 Guidance Raised to $5.15-$5.60, Crushing and Ethanol Strength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ADM Leadership and Strategy — CEO Juan Luciano, Three Strategic Pillars (Productivity, Innovation, Culture), Digital Capabilities — Fortune, Databahn, Craft.co, 2025-2026</w:t>
      </w:r>
    </w:p>
    <w:p>
      <w:pPr>
        <w:spacing w:before="20" w:after="20"/>
        <w:ind w:left="170"/>
      </w:pPr>
      <w:r>
        <w:rPr>
          <w:rFonts w:ascii="Calibri" w:hAnsi="Calibri"/>
          <w:b/>
          <w:color w:val="4A6B25"/>
          <w:sz w:val="15"/>
        </w:rPr>
        <w:t xml:space="preserve">3. </w:t>
      </w:r>
      <w:r>
        <w:rPr>
          <w:rFonts w:ascii="Calibri" w:hAnsi="Calibri"/>
          <w:b w:val="0"/>
          <w:color w:val="3A4A28"/>
          <w:sz w:val="17"/>
        </w:rPr>
        <w:t>ADM Accounting Scandal and ESG — SEC $40M Settlement, DOJ Grand Jury Investigation (2018-2023 Intersegment Sales), CDP A-List, Sustainable Bond — Glass Lewis, Anthropocene FII,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ADM Key Statistics: Forward P/E 14.98, D/E 46%, ROE 4.77%, Profit Margin 1.34%, Dividend Yield 2.62%, 53 Years Growth,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