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ADNT</w:t>
      </w:r>
      <w:r>
        <w:rPr>
          <w:rFonts w:ascii="Calibri" w:hAnsi="Calibri"/>
          <w:b/>
          <w:color w:val="1A2010"/>
          <w:sz w:val="40"/>
        </w:rPr>
        <w:t xml:space="preserve">  Adient plc</w:t>
      </w:r>
    </w:p>
    <w:p>
      <w:pPr>
        <w:spacing w:after="120"/>
      </w:pPr>
      <w:r>
        <w:rPr>
          <w:rFonts w:ascii="Calibri" w:hAnsi="Calibri"/>
          <w:b/>
          <w:color w:val="6E8450"/>
          <w:sz w:val="18"/>
        </w:rPr>
        <w:t>GROWTH SLEEVE · 2026-09-28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NYSE · Ireland</w:t>
      </w:r>
    </w:p>
    <w:p>
      <w:pPr>
        <w:spacing w:after="80"/>
      </w:pPr>
      <w:r>
        <w:rPr>
          <w:rFonts w:ascii="Calibri" w:hAnsi="Calibri"/>
          <w:b w:val="0"/>
          <w:color w:val="3A4A28"/>
          <w:sz w:val="20"/>
        </w:rPr>
        <w:t>Adient is the world's largest automotive seating supplier, designing, manufacturing, and marketing complete seating systems, mechanisms, frames, foams, head restraints, armrests, and trim covers for passenger cars, commercial vehicles, and light trucks. The company serves OEMs across North America, South America, EMEA, and Asia. Spun off from Johnson Controls in 2016 and headquartered in Dublin, Ireland, Adient generated approximately $14.8B in FY2026 revenue under CEO Jerome Dorlack. The company is expanding in China with a new technology center in Chongqing and developing next-generation autonomous vehicle seating concepts.</w:t>
      </w:r>
    </w:p>
    <w:p>
      <w:r>
        <w:rPr>
          <w:rFonts w:ascii="Calibri" w:hAnsi="Calibri"/>
          <w:b/>
          <w:color w:val="6E8450"/>
          <w:sz w:val="18"/>
        </w:rPr>
        <w:t>65,000 Employees · https://www.adient.com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Adient has not executed a transformative business pivot since its 2016 spinoff from Johnson Controls; revenue has remained essentially flat at $14.5-15B for five years, with FY2025 revenue of $14.5B down 1% YoY before modest recovery in FY2026 [1][2]. The company has developed autonomous vehicle seating concepts (AI-17, AI-18, AI-19) but these remain pre-revenue prototypes. AI Deployment (0/2): Adient hired Richard Doak as Director of Innovation and Transformation in 2025, bringing AI expertise from Microsoft and Ford, but no AI-powered products are shipping to customers and no quantified AI-driven savings have been reported [4]. Market Share (2/2): Adient holds the #1 position globally in automotive seating by revenue and unit volume, supplying seating systems to virtually every major OEM worldwide across all three operating regions, a leadership position inherited from Johnson Controls' 130+ year history in automotive interiors [4]. Product Pipeline (0/2): Beyond the autonomous vehicle seating concepts, no specific next-generation products with named launch dates and revenue visibility have been publicly disclosed. R&amp;D Intensity (1/1): Adient invests in engineering and product development at levels consistent with auto parts industry peers, maintaining regional technical centers globally and expanding with a new technology center in Chongqing, China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Adient's purpose — 'We make the experience of a ride better' — is clear and identifies what the company does, but lacks deeper articulation of a transformative vision beyond functional product delivery; it's specific to seating but doesn't inspire beyond the obvious value proposition [4]. Community &amp; Charitable Impact (1/2): Adient publishes sustainability reports aligned with SBTi-validated emissions-reduction targets and has increased renewable electricity share globally, demonstrating environmental commitment, but no specific charitable programs, community development initiatives, or dollar amounts for social investment were identified [5]. Employee Retention (0/2): No specific employee turnover, voluntary attrition, or average tenure data was found despite the company employing 65,000 people across 220+ manufacturing sites globally.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Growth-classified stock. The standout strength is a remarkably low Forward P/E of 5.80x and PEG of 0.14 — both scoring perfect 1.0 with 2x weight — reflecting the market's expectation of a massive EPS recovery from trailing $0.55 to forward $3.04 as restructuring benefits flow through [6]. D/E of 126.87% scores 0.75 (midrange between 70% target and 300% floor), representing manageable leverage for a capital-intensive auto parts manufacturer with $2.65B debt against $927M cash. The primary drags are an extremely thin profit margin of 0.32% (near-zero contribution) and ROE of 5.79% (well below 15% target), reflecting the company's ongoing margin improvement efforts. Revenue growth YoY of 5% (Q1 FY2026 +4%, Q2 +7%) contributes modestly, while 5-year revenue CAGR of approximately 1% reflects essentially flat revenue since the 2016 spinoff [1][2][3]. Liquidity floor easily cleared at ~$17.4M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Adient operates as a competent but fundamentally finite player — focused on quarterly margin improvement targets, cost optimization, and market share defense rather than pursuing a transformative vision for the future of mobility. Since the 2016 spinoff from Johnson Controls, leadership has been primarily occupied with operational restructuring, debt reduction, and integration rather than building toward an enduring cause. The autonomous vehicle seating concepts show forward thinking but remain peripheral to the core business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Adient's purpose of making 'the experience of a ride better' exists but reads as a functional description of the product rather than a rallying cry for a better future [4]. Leadership communications focus on operational metrics — adjusted EBITDA targets, margin improvement, regional revenue growth — rather than referencing a larger purpose that shapes strategic decisions. The spinoff from Johnson Controls was driven by financial engineering logic (sum-of-the-parts value creation), not by a cause. The company's strategic direction has been consistent (global automotive seating leadership) but the motivation is market position, not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Adient maintains a stable global workforce of 65,000 employees with manufacturing operations across 33 countries, suggesting organizational consistency [4]. The leadership team has relevant industry experience, and the succession from McDonald to Dorlack as CEO appears to have been orderly. However, no evidence of exceptional trust indicators — low voluntary turnover, long average tenure, employee empowerment programs, or cultural practices that create psychological safety — was found. The company's restructuring-focused strategy may create uncertainty among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Adient's competitive language centers on maintaining its #1 global market share position and defending against competitors like Lear Corporation and Magna International. No evidence was found of management commentary that references learning from rivals' strengths, uses competitive pressure as motivation for self-improvement, or acknowledges worthy competitors in an infinite-game frame. The competitive posture is market share defense, a finite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Adient has evolved its business model incrementally — expanding in China (which now represents a significant portion of revenue), developing autonomous vehicle seating concepts, and investing in lightweight materials and sustainable manufacturing [4][5]. The Chongqing technology center represents geographic and technological adaptation. However, the company has not fundamentally reinvented itself since the 2016 spinoff; it remains an automotive seating manufacturer with the same core business model and customer base.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Adient has demonstrated some willingness to invest for the long term despite near-term earnings pressure. The expansion into China with a new technology center in Chongqing, continued investment in autonomous vehicle seating R&amp;D during a period of thin margins (0.32% profit margin), and the CEO's engagement in emerging market growth represent forward-looking capital allocation [2][4]. However, these are incremental investments rather than the pattern of costly long-term bets that characterizes a 2-point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Adient at 5.80x forward earnings represents a deep value opportunity in the world's largest automotive seating supplier, with the market pricing in a massive EPS recovery from $0.55 trailing to $3.04 forward as restructuring and margin improvement initiatives take hold [6]. Q1 FY2026 showed early validation with revenue up 4% and adjusted EBITDA up 6%, while Q2 FY2026 delivered 7% revenue growth with an EPS beat that sent shares higher [2][3]. The company's global #1 market position, 220+ manufacturing facilities, and co-development relationships with every major OEM create substantial competitive moats. Expansion in China (new Chongqing technology center) positions Adient for growth in the world's largest auto market, and the autonomous vehicle seating pipeline (AI-17/18/19 concepts) could drive long-term revenue if autonomous vehicle adoption accelerates.</w:t>
      </w:r>
    </w:p>
    <w:p>
      <w:pPr>
        <w:spacing w:after="120"/>
      </w:pPr>
      <w:r>
        <w:rPr>
          <w:rFonts w:ascii="Calibri" w:hAnsi="Calibri"/>
          <w:b w:val="0"/>
          <w:color w:val="3A4A28"/>
          <w:sz w:val="20"/>
        </w:rPr>
        <w:t>The bear case centers on structural margin weakness, cyclical automotive exposure, and debt load. Profit margin of just 0.32% and ROE of 5.79% reflect a business that has struggled to translate its #1 market position into profitability since the 2016 spinoff — five years of revenue stagnation at $14.5-15B suggest the company's scale advantages are not flowing to the bottom line [1][6]. D/E of 126.87% ($2.65B debt vs. $927M cash) limits financial flexibility during the next auto downturn. The stock trades at $17.63, down 35% from its 52-week high of $27.32, suggesting the market is skeptical of the forward EPS recovery narrative. Automotive OEMs are increasingly bringing seating design in-house, potentially commoditizing Adient's value proposition. The Inspire Impact Score of 64 (ALIGNED) is a positive for faith-based investors but does not offset the fundamental operational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margin expansion as restructuring benefits materialize — management guided adjusted EBITDA of $925M for FY2026, implying meaningful margin improvement from the current 0.32% profit margin if execution continues on the Q1-Q2 trajectory [2][3]</w:t>
      </w:r>
    </w:p>
    <w:p>
      <w:pPr>
        <w:spacing w:before="40" w:after="40"/>
        <w:ind w:left="283"/>
      </w:pPr>
      <w:r>
        <w:rPr>
          <w:rFonts w:ascii="Calibri" w:hAnsi="Calibri"/>
          <w:b/>
          <w:color w:val="4A6B25"/>
          <w:sz w:val="20"/>
        </w:rPr>
        <w:t xml:space="preserve">2. </w:t>
      </w:r>
      <w:r>
        <w:rPr>
          <w:rFonts w:ascii="Calibri" w:hAnsi="Calibri"/>
          <w:b w:val="0"/>
          <w:color w:val="3A4A28"/>
          <w:sz w:val="20"/>
        </w:rPr>
        <w:t>China growth acceleration through the new Chongqing technology center and deepening relationships with Chinese EV manufacturers, which now represent the world's fastest-growing automotive segment [4]</w:t>
      </w:r>
    </w:p>
    <w:p>
      <w:pPr>
        <w:spacing w:before="40" w:after="40"/>
        <w:ind w:left="283"/>
      </w:pPr>
      <w:r>
        <w:rPr>
          <w:rFonts w:ascii="Calibri" w:hAnsi="Calibri"/>
          <w:b/>
          <w:color w:val="4A6B25"/>
          <w:sz w:val="20"/>
        </w:rPr>
        <w:t xml:space="preserve">3. </w:t>
      </w:r>
      <w:r>
        <w:rPr>
          <w:rFonts w:ascii="Calibri" w:hAnsi="Calibri"/>
          <w:b w:val="0"/>
          <w:color w:val="3A4A28"/>
          <w:sz w:val="20"/>
        </w:rPr>
        <w:t>Forward EPS recovery from $0.55 trailing to $3.04 consensus — if achieved, the stock trades at just 5.80x forward earnings, creating potential for significant multiple expansion as investors gain confidence in the earnings trajectory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Automotive production downturn risk — Adient's revenue is directly tied to global light vehicle production volumes, and any OEM production cuts due to tariffs, recession, or supply chain disruption would compress revenue and margins with high operating leverage given the 65,000-employee fixed cost base [1]</w:t>
      </w:r>
    </w:p>
    <w:p>
      <w:pPr>
        <w:spacing w:before="40" w:after="40"/>
        <w:ind w:left="283"/>
      </w:pPr>
      <w:r>
        <w:rPr>
          <w:rFonts w:ascii="Calibri" w:hAnsi="Calibri"/>
          <w:b/>
          <w:color w:val="4A6B25"/>
          <w:sz w:val="20"/>
        </w:rPr>
        <w:t xml:space="preserve">2. </w:t>
      </w:r>
      <w:r>
        <w:rPr>
          <w:rFonts w:ascii="Calibri" w:hAnsi="Calibri"/>
          <w:b w:val="0"/>
          <w:color w:val="3A4A28"/>
          <w:sz w:val="20"/>
        </w:rPr>
        <w:t>Persistent margin weakness despite restructuring — five years of essentially flat revenue ($14.5-15B) and razor-thin 0.32% profit margin suggest structural challenges in translating #1 market share into profitability, with OEM pricing pressure and labor cost inflation as headwinds [6]</w:t>
      </w:r>
    </w:p>
    <w:p>
      <w:pPr>
        <w:spacing w:before="40" w:after="40"/>
        <w:ind w:left="283"/>
      </w:pPr>
      <w:r>
        <w:rPr>
          <w:rFonts w:ascii="Calibri" w:hAnsi="Calibri"/>
          <w:b/>
          <w:color w:val="4A6B25"/>
          <w:sz w:val="20"/>
        </w:rPr>
        <w:t xml:space="preserve">3. </w:t>
      </w:r>
      <w:r>
        <w:rPr>
          <w:rFonts w:ascii="Calibri" w:hAnsi="Calibri"/>
          <w:b w:val="0"/>
          <w:color w:val="3A4A28"/>
          <w:sz w:val="20"/>
        </w:rPr>
        <w:t>Debt burden limiting strategic flexibility — $2.65B in debt at 126.87% D/E creates interest expense drag and limits the company's ability to invest in next-generation technologies or weather a prolonged downturn, particularly with only $927M cash on hand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Adient's core business — physical manufacturing, assembly, and just-in-time delivery of automotive seating systems — is a physical-world operation that AI structurally cannot displace [4]. Car seats require precision manufacturing of metal frames, foam injection, trim cutting and sewing, and mechanism assembly across 220+ plants globally, with JIT delivery to OEM assembly lines. Switching costs are high as seating programs require 2-3 year co-development cycles with OEMs. The regulatory environment (crash safety testing, FMVSS compliance) adds further protection. However, AI could automate some design and engineering work, potentially enabling smaller competitors to close the gap, and autonomous vehicle deployment timelines (which would drive demand for Adient's AI-17/18/19 concepts) remain uncertain. AI does not increase demand for automotive seating. AI Opportunity (0/1): While Adient has hired an innovation director with AI background and developed autonomous vehicle seating concepts, no AI-related revenue has been reported and no AI products are currently shipping to customers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Adient FY2025 Results — Full-year revenue $14.5B (-1% YoY), Q4 revenue $3.7B (+4% YoY), adj EBITDA $226M, Investing.com transcript, October 2025</w:t>
      </w:r>
    </w:p>
    <w:p>
      <w:pPr>
        <w:spacing w:before="20" w:after="20"/>
        <w:ind w:left="170"/>
      </w:pPr>
      <w:r>
        <w:rPr>
          <w:rFonts w:ascii="Calibri" w:hAnsi="Calibri"/>
          <w:b/>
          <w:color w:val="4A6B25"/>
          <w:sz w:val="15"/>
        </w:rPr>
        <w:t xml:space="preserve">2. </w:t>
      </w:r>
      <w:r>
        <w:rPr>
          <w:rFonts w:ascii="Calibri" w:hAnsi="Calibri"/>
          <w:b w:val="0"/>
          <w:color w:val="3A4A28"/>
          <w:sz w:val="17"/>
        </w:rPr>
        <w:t>Adient Q1 FY2026 Earnings Release — Revenue $3.64B (+4% YoY), adj EBITDA $207M (+6%), adj EPS $0.35 (+30%), January 2026</w:t>
      </w:r>
    </w:p>
    <w:p>
      <w:pPr>
        <w:spacing w:before="20" w:after="20"/>
        <w:ind w:left="170"/>
      </w:pPr>
      <w:r>
        <w:rPr>
          <w:rFonts w:ascii="Calibri" w:hAnsi="Calibri"/>
          <w:b/>
          <w:color w:val="4A6B25"/>
          <w:sz w:val="15"/>
        </w:rPr>
        <w:t xml:space="preserve">3. </w:t>
      </w:r>
      <w:r>
        <w:rPr>
          <w:rFonts w:ascii="Calibri" w:hAnsi="Calibri"/>
          <w:b w:val="0"/>
          <w:color w:val="3A4A28"/>
          <w:sz w:val="17"/>
        </w:rPr>
        <w:t>Adient Q2 FY2026 Earnings — Revenue +7% YoY driven by Americas and Asia growth, EPS beat forecasts, Investing.com transcript, May 2026</w:t>
      </w:r>
    </w:p>
    <w:p>
      <w:pPr>
        <w:spacing w:before="20" w:after="20"/>
        <w:ind w:left="170"/>
      </w:pPr>
      <w:r>
        <w:rPr>
          <w:rFonts w:ascii="Calibri" w:hAnsi="Calibri"/>
          <w:b/>
          <w:color w:val="4A6B25"/>
          <w:sz w:val="15"/>
        </w:rPr>
        <w:t xml:space="preserve">4. </w:t>
      </w:r>
      <w:r>
        <w:rPr>
          <w:rFonts w:ascii="Calibri" w:hAnsi="Calibri"/>
          <w:b w:val="0"/>
          <w:color w:val="3A4A28"/>
          <w:sz w:val="17"/>
        </w:rPr>
        <w:t>Adient Innovation &amp; Leadership — CEO Jerome Dorlack, Richard Doak Director of Innovation (ex-Microsoft/Ford), AI-17/18/19 autonomous seating concepts, Chongqing technology center expansion, LinkedIn/Corporate, 2025-2026</w:t>
      </w:r>
    </w:p>
    <w:p>
      <w:pPr>
        <w:spacing w:before="20" w:after="20"/>
        <w:ind w:left="170"/>
      </w:pPr>
      <w:r>
        <w:rPr>
          <w:rFonts w:ascii="Calibri" w:hAnsi="Calibri"/>
          <w:b/>
          <w:color w:val="4A6B25"/>
          <w:sz w:val="15"/>
        </w:rPr>
        <w:t xml:space="preserve">5. </w:t>
      </w:r>
      <w:r>
        <w:rPr>
          <w:rFonts w:ascii="Calibri" w:hAnsi="Calibri"/>
          <w:b w:val="0"/>
          <w:color w:val="3A4A28"/>
          <w:sz w:val="17"/>
        </w:rPr>
        <w:t>Adient 2022 Sustainability Report — SBTi-validated emissions-reduction targets, increased renewable electricity share globally, January 2023</w:t>
      </w:r>
    </w:p>
    <w:p>
      <w:pPr>
        <w:spacing w:before="20" w:after="20"/>
        <w:ind w:left="170"/>
      </w:pPr>
      <w:r>
        <w:rPr>
          <w:rFonts w:ascii="Calibri" w:hAnsi="Calibri"/>
          <w:b/>
          <w:color w:val="4A6B25"/>
          <w:sz w:val="15"/>
        </w:rPr>
        <w:t xml:space="preserve">6. </w:t>
      </w:r>
      <w:r>
        <w:rPr>
          <w:rFonts w:ascii="Calibri" w:hAnsi="Calibri"/>
          <w:b w:val="0"/>
          <w:color w:val="3A4A28"/>
          <w:sz w:val="17"/>
        </w:rPr>
        <w:t>Yahoo Finance — ADNT Key Statistics: Forward P/E 5.80x, PEG 0.14, D/E 126.87%, ROE 5.79%, Stock Price $17.63,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