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ADSK</w:t>
      </w:r>
      <w:r>
        <w:rPr>
          <w:rFonts w:ascii="Calibri" w:hAnsi="Calibri"/>
          <w:b/>
          <w:color w:val="1A2010"/>
          <w:sz w:val="40"/>
        </w:rPr>
        <w:t xml:space="preserve">  Autodesk, Inc.</w:t>
      </w:r>
    </w:p>
    <w:p>
      <w:pPr>
        <w:spacing w:after="120"/>
      </w:pPr>
      <w:r>
        <w:rPr>
          <w:rFonts w:ascii="Calibri" w:hAnsi="Calibri"/>
          <w:b/>
          <w:color w:val="6E8450"/>
          <w:sz w:val="18"/>
        </w:rPr>
        <w:t>GROWTH SLEEVE · 2026-09-09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Autodesk, Inc. designs and markets software products and services for the architecture, engineering, construction (AEC), manufacturing, and media and entertainment industries worldwide. Key products include AutoCAD, Revit, Fusion, Maya, 3ds Max, Civil 3D, and the Autodesk Construction Cloud platform. The company completed a transformative shift from perpetual licenses to cloud-based subscriptions and is now integrating proprietary AI foundation models across its product portfolio. Q2 FY2027 revenue of $2.046B (+16% YoY) with GAAP operating margin of 29% and non-GAAP margin of 41%; full-year FY2027 guidance raised to $8.30-$8.35B. Founded in 1982, headquartered in San Francisco, California. Market cap approximately $45.6 billion.</w:t>
      </w:r>
    </w:p>
    <w:p>
      <w:r>
        <w:rPr>
          <w:rFonts w:ascii="Calibri" w:hAnsi="Calibri"/>
          <w:b/>
          <w:color w:val="6E8450"/>
          <w:sz w:val="18"/>
        </w:rPr>
        <w:t>14,300 Employees · https://www.autodesk.com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Autodesk successfully executed one of the most transformative business model pivots in enterprise software history — migrating from perpetual licenses to recurring subscriptions (2015-2020), nearly doubling revenue from $3.79B (FY2021) to $7.21B (FY2026) [1]. The company also launched Autodesk Construction Cloud and Autodesk Platform Services, creating new revenue streams in construction technology. AI Deployment (2/2): Autodesk is shipping AI-powered features across its product portfolio — generative design in Fusion, AI-driven building analysis in Revit, and proprietary foundation models that understand 3D design geometry [4]. Management announced agentic AI capabilities targeting automation of design, make, and operate workflows, with practical AI solutions rolling out for independent artists through major studios [4]. Market Share (2/2): AutoCAD has been the industry-standard CAD platform for 40+ years with deep entrenchment in professional workflows; Revit dominates the BIM market for architecture and construction; combined with strong positions in M&amp;E (Maya, 3ds Max), Autodesk holds commanding market share across multiple verticals [6]. Product Pipeline (1/2): Autodesk Operations Solutions (AOS) consolidation is underway, and proprietary plus frontier AI model rollout is planned for coming months, but specific product launch dates and revenue targets remain vague [4]. R&amp;D Intensity (1/1): As a pure-play software company, Autodesk invests heavily in product development — R&amp;D is the core of the business model, with 91.14% gross margins enabling substantial reinvestment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Autodesk's purpose — 'to make technology accessible so that innovators everywhere can solve challenges big and small, helping people imagine, design, and make a better world' — is specific, thoughtful, and has guided 40+ years of strategic decisions from desktop CAD to cloud-based AI-powered design tools [4]. The Culture Code articulates six values (Smart, Innovative, Adaptable, Inclusive, Impactful, Courageous) that clearly connect to product decisions and market approach. Not quite 'transformative and validated' (4/4) because the mission is more aspirational than competitively differentiating. Community Impact (1/2): Autodesk provides free software licenses to educational institutions and students worldwide, democratizing access to professional design tools, and has various sustainability programs, though no specific dollar amounts for charitable giving were identified [4]. Employee Retention (1/2): With 14,300 employees and generally stable leadership, Autodesk maintains an adequate retention profile for the software industry; no specific turnover data is available, but the company's consistent execution through the subscription transition suggests organizational stability [6]. Insider Buying (2/2): CFO Janesh Moorjani purchased 2,500 shares on June 15, 2026 at approximately $200/share (roughly $500K), a meaningful personal investment with the stock down over 35% from its 52-week high, signaling executive conviction in the company's long-term value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near-perfect results across all metrics. Revenue of $7.21B grew 17.53% YoY in FY2026 with a 5-year CAGR of 14.34%, both exceeding the 10% target [1][2]. Q2 FY2027 continued the momentum at $2.046B (+16% YoY) with full-year guidance raised to $8.30-$8.35B. ROE of 50.4% is more than triple the 15% target, driven by the asset-light SaaS model with 91% gross margins [3]. Forward P/E of 19.26 is just below the 20 target, and the PEG ratio of 0.90 is below the 1.0 target, indicating attractive valuation relative to growth [3]. Debt-to-equity of 85% is modestly above the 70% target but well within the acceptable range. Profit margin of 19.49% narrowly misses the 20% target but represents dramatic improvement from the subscription transition era. Daily dollar volume of approximately $513M provides ample institutional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Autodesk is a textbook infinite game player in Sinek's framework. The company's most defining act — deliberately destroying its profitable perpetual license business to build a subscription model (2015-2020) — is one of the clearest examples of existential flexibility in modern business. Leadership accepted years of revenue compression and stock price pain to build a more durable, recurring-revenue business model aligned with the mission of democratizing design technology. The 40+ year track record of evolving from DOS-era CAD to cloud-based AI-powered design, with consistent purpose throughout, demonstrates genuine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Autodesk's purpose of making technology accessible so people can 'imagine, design, and make a better world' has been genuinely consistent for over 40 years, surviving the transition from founder John Walker's era through multiple CEOs to current leadership under Andrew Anagnost [4]. The purpose connects the company's work to human creativity and societal benefit, and strategic decisions (free educational licenses, subscription democratization, sustainability tools) trace back to it. Falls short of a canonical 3/3 because the purpose hasn't been tested through existential crisis in the way NVDA's was through the crypto bust.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Autodesk maintains stable leadership under CEO Andrew Anagnost (appointed 2017) and a Culture Code that explicitly values psychological safety through its 'Courageous' and 'Inclusive' principles [4]. The company successfully navigated the subscription transition without mass exodus, suggesting adequate organizational trust. However, no specific employee tenure data, voluntary turnover metrics, or standout cultural practices distinguish Autodesk from peers in the software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Autodesk competes with Bentley Systems, Trimble, PTC, and Dassault Systemes, and its competitive approach focuses on improving its own platform capabilities rather than attacking rivals. The AI strategy — building proprietary foundation models for 3D design rather than simply wrapping generic LLMs — suggests the company is motivated by what it can uniquely offer rather than what competitors are doing [4]. Management's competitive language consistently references customer outcomes and industry transformation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perpetual-to-subscription transition (2015-2020) is one of the most dramatic voluntary business model transformations in enterprise software history [1]. Autodesk deliberately cannibalized hundreds of millions in perpetual license revenue, accepting years of revenue decline, stock price compression, and investor criticism, to build a more durable recurring-revenue model. This was not a desperate pivot — it was a proactive decision made from a position of market dominance, driven by the belief that cloud-based subscriptions would better serve the mission of democratizing design tools.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subscription transition required extraordinary courage — leadership knowingly destroyed near-term profitability to invest in long-term capability. Revenue declined from $2.57B (FY2016 perpetual peak) before recovering and ultimately exceeding $7.2B under the subscription model [1]. Additionally, Autodesk's investment in proprietary AI foundation models for 3D design represents a costly long-term bet when cheaper options (wrapping frontier LLMs) were available, demonstrating willingness to sacrifice short-term efficiency for long-term differentiation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Autodesk delivered exceptional FY2026 results with $7.21B revenue (up 17.53% YoY) and continued accelerating through Q2 FY2027 with $2.046B revenue (up 16% YoY), GAAP operating margin of 29%, and raised full-year guidance to $8.30-$8.35B [1][2]. The stock trades at a forward P/E of 19.26 and PEG of 0.90 — attractively valued for a dominant software franchise with 91% gross margins, 50% ROE, and double-digit revenue growth. The subscription model generates predictable recurring revenue with high switching costs, and AI integration (proprietary 3D foundation models, generative design, agentic workflows) positions Autodesk to expand both per-seat value and total addressable market across AEC, manufacturing, and M&amp;E verticals [4]. Construction business growing 20%+ reflects strong technology adoption in pre-construction and model coordination. CFO insider buying at depressed levels signals executive conviction [5].</w:t>
      </w:r>
    </w:p>
    <w:p>
      <w:pPr>
        <w:spacing w:after="120"/>
      </w:pPr>
      <w:r>
        <w:rPr>
          <w:rFonts w:ascii="Calibri" w:hAnsi="Calibri"/>
          <w:b w:val="0"/>
          <w:color w:val="3A4A28"/>
          <w:sz w:val="20"/>
        </w:rPr>
        <w:t>The primary risk is macroeconomic exposure — Autodesk's revenue is tied to construction activity, manufacturing investment, and media production spending, all of which are cyclically sensitive. The stock has traded between $180 and $329 over the past year, reflecting broader software sector volatility amid AI disruption fears, though the raised FY2027 guidance demonstrates resilient demand [6]. The 2024 accounting investigation (SEC/DOJ scrutiny of free cash flow and non-GAAP margin practices, FY2022-24) was resolved with no restatements required, but the incident prompted CFO reassignment and raised governance questions [7]. While Autodesk's AI strategy is compelling, execution against well-funded competitors (Bentley, Trimble, and AI-native startups) remains unproven, and the D/E ratio of 85% is modestly elevated for a software company, though manageable given strong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Rollout of proprietary AI foundation models for 3D design and agentic AI capabilities across the product portfolio, potentially driving subscription expansion and per-seat pricing power in FY2027-2028</w:t>
      </w:r>
    </w:p>
    <w:p>
      <w:pPr>
        <w:spacing w:before="40" w:after="40"/>
        <w:ind w:left="283"/>
      </w:pPr>
      <w:r>
        <w:rPr>
          <w:rFonts w:ascii="Calibri" w:hAnsi="Calibri"/>
          <w:b/>
          <w:color w:val="4A6B25"/>
          <w:sz w:val="20"/>
        </w:rPr>
        <w:t xml:space="preserve">2. </w:t>
      </w:r>
      <w:r>
        <w:rPr>
          <w:rFonts w:ascii="Calibri" w:hAnsi="Calibri"/>
          <w:b w:val="0"/>
          <w:color w:val="3A4A28"/>
          <w:sz w:val="20"/>
        </w:rPr>
        <w:t>Continued double-digit revenue growth with expanding operating margins — management guided for double-digit growth in both revenue and billings for FY2027 with increased operating leverage</w:t>
      </w:r>
    </w:p>
    <w:p>
      <w:pPr>
        <w:spacing w:before="40" w:after="40"/>
        <w:ind w:left="283"/>
      </w:pPr>
      <w:r>
        <w:rPr>
          <w:rFonts w:ascii="Calibri" w:hAnsi="Calibri"/>
          <w:b/>
          <w:color w:val="4A6B25"/>
          <w:sz w:val="20"/>
        </w:rPr>
        <w:t xml:space="preserve">3. </w:t>
      </w:r>
      <w:r>
        <w:rPr>
          <w:rFonts w:ascii="Calibri" w:hAnsi="Calibri"/>
          <w:b w:val="0"/>
          <w:color w:val="3A4A28"/>
          <w:sz w:val="20"/>
        </w:rPr>
        <w:t>Stock re-rating from current 16x forward PE toward the 34-analyst consensus target of $318.53, driven by execution on AI strategy and subscription momentum in AEC and manufacturing verticals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Macroeconomic downturn in construction, manufacturing, or media production could slow subscription growth — Autodesk's revenue is cyclically sensitive despite the recurring model</w:t>
      </w:r>
    </w:p>
    <w:p>
      <w:pPr>
        <w:spacing w:before="40" w:after="40"/>
        <w:ind w:left="283"/>
      </w:pPr>
      <w:r>
        <w:rPr>
          <w:rFonts w:ascii="Calibri" w:hAnsi="Calibri"/>
          <w:b/>
          <w:color w:val="4A6B25"/>
          <w:sz w:val="20"/>
        </w:rPr>
        <w:t xml:space="preserve">2. </w:t>
      </w:r>
      <w:r>
        <w:rPr>
          <w:rFonts w:ascii="Calibri" w:hAnsi="Calibri"/>
          <w:b w:val="0"/>
          <w:color w:val="3A4A28"/>
          <w:sz w:val="20"/>
        </w:rPr>
        <w:t>Sales force reorganization introduces near-term execution risk to new subscription acquisition, with management explicitly pricing disruption into FY2027 guidance</w:t>
      </w:r>
    </w:p>
    <w:p>
      <w:pPr>
        <w:spacing w:before="40" w:after="40"/>
        <w:ind w:left="283"/>
      </w:pPr>
      <w:r>
        <w:rPr>
          <w:rFonts w:ascii="Calibri" w:hAnsi="Calibri"/>
          <w:b/>
          <w:color w:val="4A6B25"/>
          <w:sz w:val="20"/>
        </w:rPr>
        <w:t xml:space="preserve">3. </w:t>
      </w:r>
      <w:r>
        <w:rPr>
          <w:rFonts w:ascii="Calibri" w:hAnsi="Calibri"/>
          <w:b w:val="0"/>
          <w:color w:val="3A4A28"/>
          <w:sz w:val="20"/>
        </w:rPr>
        <w:t>AI-native design startups could disrupt Autodesk's position from below with lighter, AI-first tools, particularly for small and mid-market customers less locked into Autodesk file formats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Autodesk's design software is deeply embedded in professional workflows across architecture, engineering, construction, and manufacturing — industries with massive switching costs, regulatory requirements (building codes, engineering certifications), and decades of accumulated institutional knowledge locked in Autodesk file formats [6]. Rather than being disrupted by AI, Autodesk is the platform through which AI capabilities are delivered to these industries. Analysts view AI integration as a tailwind for subscription growth and seat expansion, not a substitution risk [1][2]. The primary defense is that generative AI enhances the value of Autodesk's tools (making designers more productive) rather than replacing them — architects still need BIM software even if AI assists with design. AI Opportunity (1/1): Autodesk is shipping AI features (generative design, AI-driven building analysis) and investing in proprietary foundation models for 3D design. Q1 FY2027 revenue grew 18% YoY to $1.93B with EPS of $2.99 beating estimates by 10.7%, with management crediting AI-enhanced product capabilities for sustaining growth momentum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Autodesk Q4 FY2026 Earnings Release — Fourth quarter revenue grew 19% YoY to $1.96B, Full-year FY2026 revenue $7.21B (+17.53%), Autodesk Investor Relations, February 2026</w:t>
      </w:r>
    </w:p>
    <w:p>
      <w:pPr>
        <w:spacing w:before="20" w:after="20"/>
        <w:ind w:left="170"/>
      </w:pPr>
      <w:r>
        <w:rPr>
          <w:rFonts w:ascii="Calibri" w:hAnsi="Calibri"/>
          <w:b/>
          <w:color w:val="4A6B25"/>
          <w:sz w:val="15"/>
        </w:rPr>
        <w:t xml:space="preserve">2. </w:t>
      </w:r>
      <w:r>
        <w:rPr>
          <w:rFonts w:ascii="Calibri" w:hAnsi="Calibri"/>
          <w:b w:val="0"/>
          <w:color w:val="3A4A28"/>
          <w:sz w:val="17"/>
        </w:rPr>
        <w:t>Autodesk Q2 FY2027 Earnings Release — Revenue of $2.046B up 16% YoY, GAAP operating margin 29%, Non-GAAP margin 41%, Full-year guidance raised to $8.30-$8.35B, August 2026</w:t>
      </w:r>
    </w:p>
    <w:p>
      <w:pPr>
        <w:spacing w:before="20" w:after="20"/>
        <w:ind w:left="170"/>
      </w:pPr>
      <w:r>
        <w:rPr>
          <w:rFonts w:ascii="Calibri" w:hAnsi="Calibri"/>
          <w:b/>
          <w:color w:val="4A6B25"/>
          <w:sz w:val="15"/>
        </w:rPr>
        <w:t xml:space="preserve">3. </w:t>
      </w:r>
      <w:r>
        <w:rPr>
          <w:rFonts w:ascii="Calibri" w:hAnsi="Calibri"/>
          <w:b w:val="0"/>
          <w:color w:val="3A4A28"/>
          <w:sz w:val="17"/>
        </w:rPr>
        <w:t>GuruFocus / StockAnalysis — ADSK Forward P/E 19.26, PEG 0.90, ROE 50.4%, D/E 85%, Financial Statistics,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Autodesk News — AI Foundation Models, Generative Design, Agentic AI Capabilities, Culture Code Values, 2026</w:t>
      </w:r>
    </w:p>
    <w:p>
      <w:pPr>
        <w:spacing w:before="20" w:after="20"/>
        <w:ind w:left="170"/>
      </w:pPr>
      <w:r>
        <w:rPr>
          <w:rFonts w:ascii="Calibri" w:hAnsi="Calibri"/>
          <w:b/>
          <w:color w:val="4A6B25"/>
          <w:sz w:val="15"/>
        </w:rPr>
        <w:t xml:space="preserve">5. </w:t>
      </w:r>
      <w:r>
        <w:rPr>
          <w:rFonts w:ascii="Calibri" w:hAnsi="Calibri"/>
          <w:b w:val="0"/>
          <w:color w:val="3A4A28"/>
          <w:sz w:val="17"/>
        </w:rPr>
        <w:t>GuruFocus — Insider Buying: CFO Janesh Moorjani Acquires 2,500 Shares of ADSK at ~$200, June 15,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ADSK Stock Price $215.55, Market Cap $45.6B, 5yr Revenue CAGR 14.34%, Financial Overview,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Autodesk Accounting Investigation — SEC/DOJ Scrutiny of Free Cash Flow and Non-GAAP Margin Practices (FY2022-24), No Restatements Required, Bloomberg / ENR,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