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AEE</w:t>
      </w:r>
      <w:r>
        <w:rPr>
          <w:rFonts w:ascii="Calibri" w:hAnsi="Calibri"/>
          <w:b/>
          <w:color w:val="1A2010"/>
          <w:sz w:val="40"/>
        </w:rPr>
        <w:t xml:space="preserve">  Ameren Corporation</w:t>
      </w:r>
    </w:p>
    <w:p>
      <w:pPr>
        <w:spacing w:after="120"/>
      </w:pPr>
      <w:r>
        <w:rPr>
          <w:rFonts w:ascii="Calibri" w:hAnsi="Calibri"/>
          <w:b/>
          <w:color w:val="6E8450"/>
          <w:sz w:val="18"/>
        </w:rPr>
        <w:t>DIVIDEND SLEEVE · 2026-09-14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Regulated Electric &amp; Gas Utilities · NYSE · United States</w:t>
      </w:r>
    </w:p>
    <w:p>
      <w:pPr>
        <w:spacing w:after="80"/>
      </w:pPr>
      <w:r>
        <w:rPr>
          <w:rFonts w:ascii="Calibri" w:hAnsi="Calibri"/>
          <w:b w:val="0"/>
          <w:color w:val="3A4A28"/>
          <w:sz w:val="20"/>
        </w:rPr>
        <w:t>Ameren Corporation is a regulated electric and natural gas utility holding company serving approximately 2.4 million electric and 900,000 natural gas customers across Missouri and Illinois. The company operates through Ameren Missouri, Ameren Illinois Electric, Ameren Illinois Natural Gas, and Ameren Transmission segments. Ameren is executing a $71 billion infrastructure investment pipeline through 2035, with rate base growth projected at 10.6% CAGR. Q2 FY2026 EPS of $1.13 (+12% YoY) with full-year guidance reaffirmed at $5.25-$5.45 [1]. Founded in 1997 through the merger of Union Electric Company and CIPSCO, headquartered in St. Louis, Missouri.</w:t>
      </w:r>
    </w:p>
    <w:p>
      <w:r>
        <w:rPr>
          <w:rFonts w:ascii="Calibri" w:hAnsi="Calibri"/>
          <w:b/>
          <w:color w:val="6E8450"/>
          <w:sz w:val="18"/>
        </w:rPr>
        <w:t>9,000 Employees · https://www.ameren.com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As a regulated utility, Ameren's innovation is measured in infrastructure modernization rather than product launches. The company invested $2.6B in H1 2026 alone and has 350 MW of new solar capacity in service with over 5 GW under development [1]. However, this represents incremental infrastructure deployment within a regulated framework, not a business model transformation. AI Deployment (0/2): No evidence of AI products shipping or AI-driven cost savings reported. Ameren has a Chief Digital Information Officer (Bhavani Amirthalingam) and SVP Corporate Strategy &amp; Innovation (Mark Fronmuller), but no specific AI products or quantified AI revenue have been disclosed [3]. Market Share (2/2): Ameren operates as a regulated monopoly in its Missouri and Illinois service territories, serving 2.4M electric and 900K natural gas customers — 100% market share by definition in rate-regulated territories [1]. Product Pipeline (1/2): The $71B infrastructure investment pipeline through 2035 provides exceptional capital deployment visibility, and 2.8 GW of signed electric service agreements (primarily data centers) with completed interconnection studies for 4 GW create specific growth catalysts expected to contribute from H2 2027 [1]. However, these are capital investments with regulatory recovery, not market-priced products. R&amp;D Intensity (0/1): Utilities do not report R&amp;D spending separately; innovation investment is embedded in capital expenditure and operations.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Ameren's mission is 'To power the quality of life' with a vision of 'Leading the way to a sustainable energy future' [4]. This connects energy delivery to human wellbeing and environmental stewardship — specific and thoughtful enough to guide infrastructure decisions and the clean energy transition. However, it is not distinctive among utilities; many peers articulate similar aspirations around reliable, affordable, sustainable energy. Community Impact (1/2): Ameren commits to community support as a core priority alongside reliable energy and environmental stewardship, and Glassdoor employees praise the company's 'desire to invest in the communities they serve' [4][5]. However, no specific foundation giving amounts or measurable community investment data with dollar figures were identified. Employee Retention (0/2): Glassdoor rating of 3.2/5 based on 667 reviews reveals mixed sentiment — employees praise pay and benefits but describe upper management as 'installed at great cost with little awareness of the work going on beneath them' and 'poor at decision making' [5]. No specific retention or tenure data available. Insider Buying (0/2): No evidence of meaningful net insider buying by executives was identified; prior research showed $1.3M in insider selling over a 3-month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distance-from-target methodology. D/E of 158% is elevated relative to the 70% target (score 0.617) but typical for capital-intensive regulated utilities financing infrastructure through long-term debt supported by allowed returns [2]. ROE of 11.94% is below the 15% target (score 0.796) but standard for a regulated utility constrained by authorized returns [2]. Revenue growth YoY estimated at ~4% and 5yr CAGR at ~7% reflect steady regulated revenue growth driven by rate base expansion. Forward P/E of 18.88 is below the 20 target (score 1.0), improving from 20.77 in July due to share price decline from $111 to $105 [2]. Profit margin of 18.58% approaches the 20% target (score 0.929). Dividend metrics are excellent: payout ratio of 52.93% within the 55-65% target range, 25+ consecutive years of payments (scoring full marks at 2x weight), 12 consecutive years of growth, and 5-year dividend growth CAGR of ~7.3% exceeding the 6% target (scoring full marks at 2x weight) [2]. The stock clears the liquidity floor with ~$135.9M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Ameren displays meaningful long-term thinking inherent to its century-old regulated utility heritage — $71B infrastructure investment pipeline through 2035, 12 consecutive years of dividend growth, consistent purpose around powering quality of life, and a major clean energy transition from coal to renewables [1][4]. However, the company's structure as a regulated monopoly inherently limits key infinite game attributes: existential flexibility is constrained by regulation, worthy rivals do not exist in monopoly territories, and capital allocation is largely dictated by regulatory frameworks rather than visionary leadership. The genuine long-term orientation exists within a structurally limited context.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'Power the quality of life' and 'Leading the way to a sustainable energy future' are genuine purpose statements that connect energy delivery to human wellbeing and environmental stewardship, and have been consistent through leadership transitions [4]. The $71B investment pipeline and clean energy transition (350 MW solar in service, 5+ GW under development) demonstrate strategic decisions that trace back to this purpose [1]. The Missouri rate case filing of $343M revenue increase is partly to fund infrastructure modernization that serves this cause. However, the purpose has not been tested through existential crisis or fundamental disruption the way canonical infinite game causes have been.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Ameren has demonstrated orderly leadership succession — CEO Martin Lyons, newly created Group President role for Michael Moehn (former CFO), and planned CFO transition to Lenny Singh effective January 2026, all reflecting organizational stability [3]. The creation of dedicated Strategy and Innovation, and Chief Digital Information Officer roles shows investment in employee capabilities. However, Glassdoor reviews (3.2/5) describe mixed sentiment with concerns about upper management awareness and decision-making quality, preventing a higher trust score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Ameren has no direct competitors in its service territories. The company does compete with other utility territories for large load customers (data centers), and the framework for data center commitments shows awareness of competitive dynamics [3]. However, there is no evidence of framing rival utilities' strengths as motivation for self-improvement, which is Sinek's test for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Ameren is executing a meaningful generation portfolio transformation — transitioning from coal to clean energy with 350 MW solar in service, 5+ GW of renewables under development, and the planned closure and securitization of the Rush Island coal plant replaced by renewables plus battery storage [1][4]. For a regulated utility structurally constrained by franchise obligations, this represents significant strategic evolution. However, the transition is incremental and partly mandated by regulatory and environmental policy rather than a voluntary, purpose-driven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Ameren's commitment to $71B in infrastructure investment through 2035 with $2.6B deployed in H1 2026 alone represents meaningful long-term capital allocation [1]. The $343M Missouri rate case filing reflects willingness to invest ahead of load growth, including data center demand that has yet to materialize. The clean energy transition involves technology and execution risk. However, regulated utilities earn allowed returns on invested capital, limiting the downside risk that characterizes truly courageous bets — the regulatory framework protects against the kind of sacrifice Sinek values.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Ameren delivered strong Q2 2026 EPS of $1.13 (+12% YoY) and reaffirmed full-year guidance of $5.25-$5.45, tracking at or above the midpoint, with long-term EPS growth projected at 6-8% CAGR through 2030 near the upper end of guidance [1]. The investment case rests on Ameren's 10.6% rate base growth CAGR driven by a $71B infrastructure pipeline through 2035, including 350 MW of new solar capacity in service, 5+ GW under development, and 2.8 GW of signed electric service agreements from data centers expected to contribute from H2 2027 [1]. At $104.90 with a Forward P/E of 18.88, the valuation is reasonable for a high-quality regulated utility with above-average growth visibility. The dividend yield of 2.86% with 12 consecutive years of growth at a ~7.3% CAGR and a 52.93% payout ratio within management's 55-65% target range provides attractive income growth [2]. Profit margin of 18.58% and net income of $1.56B TTM demonstrate solid regulated earnings quality. The Inspire Impact Score of 43 (ALIGNED) with 17 positive attributions and no negatives makes Ameren an attractive option for faith-aligned income investors.</w:t>
      </w:r>
    </w:p>
    <w:p>
      <w:pPr>
        <w:spacing w:after="120"/>
      </w:pPr>
      <w:r>
        <w:rPr>
          <w:rFonts w:ascii="Calibri" w:hAnsi="Calibri"/>
          <w:b w:val="0"/>
          <w:color w:val="3A4A28"/>
          <w:sz w:val="20"/>
        </w:rPr>
        <w:t>The bear case centers on the structural limitations of the regulated utility model and balance sheet leverage. D/E of 158% reflects the capital intensity required to fund $71B in planned investments, and approximately $4B in equity issuance is needed through 2030 with $1.2B already sold forward year-to-date, creating dilution pressure [1][2]. ROE of 11.94% is constrained by regulatory allowed returns and sits below the 15% target. Negative free cash flow of -$1.45B demonstrates that Ameren's current capex ($2.6B in H1 2026 alone) exceeds internally generated cash flow, necessitating continuous external financing [2]. The Missouri rate case requesting $343M in revenue increases faces regulatory risk — unfavorable outcomes could reduce authorized returns on the investment program. Glassdoor reviews (3.2/5) suggest organizational culture challenges that could affect execution of the ambitious capital program [5]. Data center load agreements face execution risk: power demand can swing by hundreds of megawatts during AI model training, creating grid reliability challenges, and the 2.8 GW of signed ESAs have yet to contribute revenue [3]. Revenue growth of ~4% YoY is modest and below the EPS growth rate, reflecting utility sector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demand acceleration — 2.8 GW of signed electric service agreements and 4 GW with completed interconnection studies represent upside to current planning assumptions, with loads expected to contribute from H2 2027, potentially driving rate base growth above the 10.6% CAGR base plan [1]</w:t>
      </w:r>
    </w:p>
    <w:p>
      <w:pPr>
        <w:spacing w:before="40" w:after="40"/>
        <w:ind w:left="283"/>
      </w:pPr>
      <w:r>
        <w:rPr>
          <w:rFonts w:ascii="Calibri" w:hAnsi="Calibri"/>
          <w:b/>
          <w:color w:val="4A6B25"/>
          <w:sz w:val="20"/>
        </w:rPr>
        <w:t xml:space="preserve">2. </w:t>
      </w:r>
      <w:r>
        <w:rPr>
          <w:rFonts w:ascii="Calibri" w:hAnsi="Calibri"/>
          <w:b w:val="0"/>
          <w:color w:val="3A4A28"/>
          <w:sz w:val="20"/>
        </w:rPr>
        <w:t>Constructive regulatory outcomes in pending Missouri rate case ($343M revenue increase request) and Illinois performance reconciliation ($31M), supporting full cost recovery of the $71B infrastructure investment pipeline [1]</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 6-8% EPS growth CAGR through 2030 with payout ratio below the 55-65% target range provides runway for dividend increases at or above the ~7.3% 5-year growth rate, compounding income for long-term holders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leverage at 158% D/E with ~$4B equity issuance needed through 2030 and $1.2B already sold forward creates dilution and refinancing risk, particularly if interest rates remain elevated and compress the spread between cost of capital and allowed returns [1][2]</w:t>
      </w:r>
    </w:p>
    <w:p>
      <w:pPr>
        <w:spacing w:before="40" w:after="40"/>
        <w:ind w:left="283"/>
      </w:pPr>
      <w:r>
        <w:rPr>
          <w:rFonts w:ascii="Calibri" w:hAnsi="Calibri"/>
          <w:b/>
          <w:color w:val="4A6B25"/>
          <w:sz w:val="20"/>
        </w:rPr>
        <w:t xml:space="preserve">2. </w:t>
      </w:r>
      <w:r>
        <w:rPr>
          <w:rFonts w:ascii="Calibri" w:hAnsi="Calibri"/>
          <w:b w:val="0"/>
          <w:color w:val="3A4A28"/>
          <w:sz w:val="20"/>
        </w:rPr>
        <w:t>Regulatory risk — unfavorable rate case outcomes in Missouri or Illinois could reduce authorized returns on the $71B investment program, constraining EPS growth below the 6-8% guidance range and limiting dividend growth capacity</w:t>
      </w:r>
    </w:p>
    <w:p>
      <w:pPr>
        <w:spacing w:before="40" w:after="40"/>
        <w:ind w:left="283"/>
      </w:pPr>
      <w:r>
        <w:rPr>
          <w:rFonts w:ascii="Calibri" w:hAnsi="Calibri"/>
          <w:b/>
          <w:color w:val="4A6B25"/>
          <w:sz w:val="20"/>
        </w:rPr>
        <w:t xml:space="preserve">3. </w:t>
      </w:r>
      <w:r>
        <w:rPr>
          <w:rFonts w:ascii="Calibri" w:hAnsi="Calibri"/>
          <w:b w:val="0"/>
          <w:color w:val="3A4A28"/>
          <w:sz w:val="20"/>
        </w:rPr>
        <w:t>Data center grid reliability challenges — AI model training power demand can swing by hundreds of megawatts instantaneously, creating 'high likelihood, high impact' grid stability risks that could delay load interconnection or require costly grid hardening investments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Ameren operates critical physical infrastructure — power generation plants, transmission lines, distribution networks, and natural gas pipelines — that AI structurally cannot displace [1]. Regulated utilities require massive physical assets, extensive regulatory frameworks (Missouri PSC, Illinois Commerce Commission, FERC), and local workforce to maintain and operate. AI actually increases demand for Ameren's core product: electricity. The AI data center buildout is driving significant new load agreements — 2.8 GW of signed electric service agreements with 4 GW having completed interconnection studies, and average demand from prospective commercial customers has skyrocketed from 3.2 MW in 2019 to 181.2 MW currently [1][3]. No analyst has identified AI as a disruption risk to regulated utilities; the consensus is that AI is a demand catalyst for electricity infrastructure. AI Opportunity (0/1): Ameren does not currently generate quantifiable revenue from AI products or services. The 2.8 GW of signed data center ESAs are expected to begin contributing revenue in H2 2027, representing future rather than current AI-related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Ameren Corporation Q2 FY2026 Earnings — EPS $1.13 (+12% YoY), H1 CapEx $2.6B, 2.8 GW Signed ESAs, $71B Pipeline Through 2035, Missouri $343M Rate Case, Full-Year Guidance $5.25-$5.45 Reaffirmed — PRNewsWire, GuruFocus, August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Yahoo Finance — AEE Key Statistics: Stock Price $104.90, Forward P/E 18.88, ROE 11.94%, D/E 158%, Profit Margin 18.58%, Dividend Yield 2.86%, Payout 52.93%, 12 Years Dividend Growth —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Ameren AI Data Center Strategy &amp; Leadership — 2.8 GW Signed ESAs, Avg Demand 3.2MW to 181.2MW, Executive Changes January 2026 (Group President Michael Moehn), Grid Reliability Risks — STL Public Radio, Investing.com, NAM, 2025-2026</w:t>
      </w:r>
    </w:p>
    <w:p>
      <w:pPr>
        <w:spacing w:before="20" w:after="20"/>
        <w:ind w:left="170"/>
      </w:pPr>
      <w:r>
        <w:rPr>
          <w:rFonts w:ascii="Calibri" w:hAnsi="Calibri"/>
          <w:b/>
          <w:color w:val="4A6B25"/>
          <w:sz w:val="15"/>
        </w:rPr>
        <w:t xml:space="preserve">4. </w:t>
      </w:r>
      <w:r>
        <w:rPr>
          <w:rFonts w:ascii="Calibri" w:hAnsi="Calibri"/>
          <w:b w:val="0"/>
          <w:color w:val="3A4A28"/>
          <w:sz w:val="17"/>
        </w:rPr>
        <w:t>Ameren Corporate Website — Mission 'Power the Quality of Life,' Vision 'Leading the Way to a Sustainable Energy Future,' ESG Report Library, Governance Framework — ameren.com,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Ameren Reviews (667 reviews, 3.2/5): Mixed Sentiment on Upper Management, Positive on Pay/Benefits/Community — Glassdoor.com,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