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AEG</w:t>
      </w:r>
      <w:r>
        <w:rPr>
          <w:rFonts w:ascii="Calibri" w:hAnsi="Calibri"/>
          <w:b/>
          <w:color w:val="1A2010"/>
          <w:sz w:val="40"/>
        </w:rPr>
        <w:t xml:space="preserve">  Aegon Ltd.</w:t>
      </w:r>
    </w:p>
    <w:p>
      <w:pPr>
        <w:spacing w:after="120"/>
      </w:pPr>
      <w:r>
        <w:rPr>
          <w:rFonts w:ascii="Calibri" w:hAnsi="Calibri"/>
          <w:b/>
          <w:color w:val="6E8450"/>
          <w:sz w:val="18"/>
        </w:rPr>
        <w:t>DIVIDEND SLEEVE · 2026-10-17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Diversified · NYQ · Netherlands</w:t>
      </w:r>
    </w:p>
    <w:p>
      <w:pPr>
        <w:spacing w:after="80"/>
      </w:pPr>
      <w:r>
        <w:rPr>
          <w:rFonts w:ascii="Calibri" w:hAnsi="Calibri"/>
          <w:b w:val="0"/>
          <w:color w:val="3A4A28"/>
          <w:sz w:val="20"/>
        </w:rPr>
        <w:t>Aegon Ltd. is a 182-year-old insurance and retirement company operating primarily in the United States through Transamerica and World Financial Group, with additional operations in the Netherlands and internationally. The company sold its UK operations to Standard Life and is redomiciling to the US (EGM October 2026). H1 2026 operating result grew 9% to EUR 804M, operating capital generation surged 27% to EUR 416M, and Transamerica life sales increased 54%. Aegon raised its H2 buyback to EUR 350M and maintains a 5.9% dividend yield.</w:t>
      </w:r>
    </w:p>
    <w:p>
      <w:r>
        <w:rPr>
          <w:rFonts w:ascii="Calibri" w:hAnsi="Calibri"/>
          <w:b/>
          <w:color w:val="6E8450"/>
          <w:sz w:val="18"/>
        </w:rPr>
        <w:t>12,100 Employees · https://www.aegon.com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Aegon has executed a significant portfolio restructuring — selling Aegon UK to Standard Life and filing to redomicile to the United States — but this is strategic simplification rather than product or market innovation [1]. The core business continues to sell the same life insurance, pensions, and retirement products through largely the same distribution channels it has for decades. Transamerica life sales grew 54% in H1 2026, but through volume expansion rather than new product categories. AI Deployment (0/2): CTO Deb Waters describes using AI for retirement savings optimization, process automation, and risk controls, with the approach of combining AI with human expertise [2]. However, no specific AI-powered products are shipping to customers or generating quantified AI-driven savings. Market Share (1/2): Transamerica is a well-recognized brand in U.S. insurance and retirement, but is not a category leader — competing against much larger incumbents (MetLife, Prudential, AIG) without defining or leading a category [1]. Product Pipeline (0/2): No specific next-generation products with named launch dates and revenue visibility were identified. Growth strategy focuses on Transamerica distribution expansion and operational efficiency rather than product innovation. R&amp;D Intensity (1/1): Aegon invests in digital transformation through a dedicated Chief Strategy, Transformation and Growth Officer (Michele Bareggi) and has a technology modernization program including annual fintech/insurtech hackathons, suggesting above-average tech investment for an insurer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Aegon's purpose — helping people achieve a lifetime of financial security — is generic and interchangeable with virtually any insurance or retirement company. It does not articulate a deeper purpose or inspire beyond the obvious [2]. While the mission is clear about what the company does, it does not differentiate Aegon from dozens of peers and is not referenced as a strategic decision-making framework in management commentary. Community Impact (1/2): Aegon maintains a sustainability framework aligned with CSRD requirements, was included in the S&amp;P Sustainability Yearbook 2026 and FTSE4Good Index, and has community investment programs. However, no distinctive charitable initiatives with specific dollar amounts or measurable community impact were identified beyond standard corporate philanthropy [3]. Employee Retention (1/2): CEO Lard Friese has led the company since 2020 and was reappointed for another four-year term, providing leadership stability [2]. The 12,100-person workforce (down from 15,300 after the UK sale) has seen no significant layoffs or cultural red flags. However, no specific retention data or evidence of exceptional employee engagement was found. Insider Buying (0/2): No evidence of meaningful discretionary insider buying by CEO Friese or other executives was identified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Aegon's balance sheet is conservatively leveraged with D/E of 42.7%, well below the 70% target (score 1.0) [1]. Forward P/E of 8.89 is remarkably low for a mature insurer (score 1.0), reflecting deep value pricing. ROE of 11.1% is below the 15% target (score 0.74), adequate but not exceptional for an insurer with H1 2026 operating result up 9% to EUR 804M. Profit margin of 8.6% scores 0.43, typical for insurance but well below the 20% target. Revenue growth YoY of -8.2% (score 0.39) reflects portfolio restructuring effects from the UK sale rather than organic decline. Dividend metrics are a strength: payout ratio of 61.5% (score 0.64), consecutive years paid of 15 (from 2012 restart, score 1.0, 2x weight), consecutive years of growth of approximately 5 (score 0.50), and the post-restart 5-year dividend growth CAGR of approximately 40% from the 2021 low base easily exceeds the 6% target (score 1.0, 2x weight) [1]. Liquidity floor: 5.2M avg daily volume x $8.32 = $43.2M, well above $1M.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Aegon is a 182-year-old institution that has survived world wars, financial crises, and industry transformation — longevity that inherently suggests infinite-game DNA. Under CEO Friese, the company is executing a bold strategic transformation from a European global insurer to a US-focused insurance/retirement company through the UK sale and US redomiciliation. However, the mission remains generic, the 2020 dividend suspension showed the company prioritizing financial survival over stakeholder commitment, and strategic decisions are framed around operational efficiency and capital returns rather than advancing a larger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Aegon's purpose — helping people achieve a lifetime of financial security — exists but is shallow by Sinek's standard. It is interchangeable with every major insurance company and does not describe a future state that does not yet exist [2]. Leadership frames decisions around operational efficiency, free cash flow growth, and capital returns rather than referencing purpose as a strategic decision-making framework. The cause has not been validated through crisis in a way Sinek would recognize — the 2020 dividend suspension showed the company prioritizing financial survival over shareholder commitment.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Friese has led the company since 2020 and was reappointed for another four-year term, providing leadership continuity through the major strategic transformation [2]. The appointment of Michele Bareggi as Chief Strategy, Transformation and Growth Officer signals investment in organizational capability. The 12,100-person workforce (reduced from 15,300 after the UK sale) appears stable with no evidence of cultural dysfunction or mass layoffs. However, no evidence of exceptional employee empowerment or cultural practices creating psychological safety was found — the organization appears average for a large European insurer.</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Aegon acknowledges the competitive strengths of larger rivals (MetLife, Prudential) and insurtech disruptors without framing competition as a zero-sum war [2]. The company's innovation approach explicitly recognizes that external startups may develop superior solutions, and Aegon runs annual hackathons to learn from and partner with fintech innovators. Management commentary focuses on improving Aegon's own operational efficiency and customer experience rather than competitive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Aegon is executing a meaningful strategic transformation — selling Aegon UK to Standard Life, redomiciling from the Netherlands to the United States (EGM October 2026), and concentrating the business around Transamerica and the US insurance/retirement market [1]. This is a genuine reshaping of the company's identity from a European-headquartered global insurer to a US-focused retirement company. The changes are strategic and proactive, driven by the recognition that the US market represents Aegon's best growth opportunity. However, the core insurance/retirement business model remains unchanged — this is geographic and portfolio optimization, not a fundamental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sell Aegon UK, redomicile to the US, and raise the H2 buyback by EUR 150M to EUR 350M demonstrates willingness to make uncomfortable strategic moves — abandoning the European insurance identity Aegon has held for 182 years in favor of concentrating on the US market [1]. CEO Friese's planned relocation to the US signals personal commitment. However, these decisions align with financial optimization rather than sacrificing near-term results for long-term capability. The 2020 dividend suspension, while financially prudent, was a defensive move that broke a multi-decade commitment to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Aegon at $8.32 with a $12.3B market cap, 8.89x forward earnings, and 5.9% dividend yield offers deep value exposure to a restructuring insurer with strengthening US operations. H1 2026 operating result grew 9% to EUR 804M, operating capital generation surged 27% to EUR 416M with EUR 392M free cash flow, and Transamerica life sales jumped 54% — demonstrating the US-focused strategy is delivering [1]. The EUR 350M H2 buyback (raised EUR 150M) combined with the 5.9% dividend yield creates total shareholder return approaching 9-10%. The balance sheet is conservatively leveraged (D/E 42.7%) with EUR 1.7B cash at holding and Solvency II ratio of 169%. The US redomiciliation (EGM October 2026) and UK sale to Standard Life are simplifying the corporate structure and concentrating resources on the highest-growth market [1].</w:t>
      </w:r>
    </w:p>
    <w:p>
      <w:pPr>
        <w:spacing w:after="120"/>
      </w:pPr>
      <w:r>
        <w:rPr>
          <w:rFonts w:ascii="Calibri" w:hAnsi="Calibri"/>
          <w:b w:val="0"/>
          <w:color w:val="3A4A28"/>
          <w:sz w:val="20"/>
        </w:rPr>
        <w:t>The bear case centers on structural growth limitations and execution risk in the transformation. Revenue declined 8.2% YoY due to portfolio restructuring effects and volatile insurance accounting, and the 5% annual operating result growth target through 2027 is modest for a stock already valued at 8.89x forward earnings — limited upside if growth merely meets guidance [1]. ROE of 11.1% and profit margin of 8.6% remain below peers, suggesting Aegon has not yet achieved the operational efficiency it targets. The Solvency II ratio declined 15 percentage points to 169% due to the loss of capital eligibility of subordinated bonds, raising capital adequacy questions. The 2020 dividend suspension broke a multi-decade payment record, and the 5-year dividend growth CAGR of 40% is inflated by the depressed post-suspension restart base — the 61.5% payout ratio leaves limited room for future increases if earnings disappoint. Insurance industry headwinds including low interest rate sensitivity, regulatory pressure across multiple jurisdictions, and competitive threats from larger incumbents and insurtech disruptors constrain the growth ceiling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Operating capital generation surging 27% in H1 2026 to EUR 416M, combined with EUR 350M H2 buyback and 5.9% dividend yield, creates compelling 9-10% total shareholder return that should attract income-oriented investors [1]</w:t>
      </w:r>
    </w:p>
    <w:p>
      <w:pPr>
        <w:spacing w:before="40" w:after="40"/>
        <w:ind w:left="283"/>
      </w:pPr>
      <w:r>
        <w:rPr>
          <w:rFonts w:ascii="Calibri" w:hAnsi="Calibri"/>
          <w:b/>
          <w:color w:val="4A6B25"/>
          <w:sz w:val="20"/>
        </w:rPr>
        <w:t xml:space="preserve">2. </w:t>
      </w:r>
      <w:r>
        <w:rPr>
          <w:rFonts w:ascii="Calibri" w:hAnsi="Calibri"/>
          <w:b w:val="0"/>
          <w:color w:val="3A4A28"/>
          <w:sz w:val="20"/>
        </w:rPr>
        <w:t>US redomiciliation and Aegon UK sale completing Aegon's transformation into a focused US insurance/retirement company — if Transamerica accelerates growth (life sales up 54% in H1), the stock could re-rate from a European insurer discount to a US retirement multiple [1]</w:t>
      </w:r>
    </w:p>
    <w:p>
      <w:pPr>
        <w:spacing w:before="40" w:after="40"/>
        <w:ind w:left="283"/>
      </w:pPr>
      <w:r>
        <w:rPr>
          <w:rFonts w:ascii="Calibri" w:hAnsi="Calibri"/>
          <w:b/>
          <w:color w:val="4A6B25"/>
          <w:sz w:val="20"/>
        </w:rPr>
        <w:t xml:space="preserve">3. </w:t>
      </w:r>
      <w:r>
        <w:rPr>
          <w:rFonts w:ascii="Calibri" w:hAnsi="Calibri"/>
          <w:b w:val="0"/>
          <w:color w:val="3A4A28"/>
          <w:sz w:val="20"/>
        </w:rPr>
        <w:t>Forward P/E of 8.89x with improving operating momentum provides significant re-rating potential if the 5% annual operating result growth target is exceeded, particularly as the simpler post-restructuring business becomes easier for analysts to model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decline of 8.2% YoY and modest 5% operating result growth target limit upside — if Transamerica growth decelerates from the 54% H1 life sales pace, the investment thesis depends entirely on capital return rather than earnings expansion [1]</w:t>
      </w:r>
    </w:p>
    <w:p>
      <w:pPr>
        <w:spacing w:before="40" w:after="40"/>
        <w:ind w:left="283"/>
      </w:pPr>
      <w:r>
        <w:rPr>
          <w:rFonts w:ascii="Calibri" w:hAnsi="Calibri"/>
          <w:b/>
          <w:color w:val="4A6B25"/>
          <w:sz w:val="20"/>
        </w:rPr>
        <w:t xml:space="preserve">2. </w:t>
      </w:r>
      <w:r>
        <w:rPr>
          <w:rFonts w:ascii="Calibri" w:hAnsi="Calibri"/>
          <w:b w:val="0"/>
          <w:color w:val="3A4A28"/>
          <w:sz w:val="20"/>
        </w:rPr>
        <w:t>Solvency II ratio declined 15 percentage points to 169% due to loss of capital eligibility of subordinated bonds — further capital adequacy deterioration could constrain dividend capacity and force the company to retain capital at the expense of shareholder returns [1]</w:t>
      </w:r>
    </w:p>
    <w:p>
      <w:pPr>
        <w:spacing w:before="40" w:after="40"/>
        <w:ind w:left="283"/>
      </w:pPr>
      <w:r>
        <w:rPr>
          <w:rFonts w:ascii="Calibri" w:hAnsi="Calibri"/>
          <w:b/>
          <w:color w:val="4A6B25"/>
          <w:sz w:val="20"/>
        </w:rPr>
        <w:t xml:space="preserve">3. </w:t>
      </w:r>
      <w:r>
        <w:rPr>
          <w:rFonts w:ascii="Calibri" w:hAnsi="Calibri"/>
          <w:b w:val="0"/>
          <w:color w:val="3A4A28"/>
          <w:sz w:val="20"/>
        </w:rPr>
        <w:t>The 2020 dividend suspension (during a crisis) broke a multi-decade payment record, and the 61.5% payout ratio leaves limited room for increase — another suspension during financial stress would severely damage income investor confidence and the yield premium that supports the stock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Aegon's core business — life insurance, pensions, annuities, and retirement products — is protected by deep regulatory moats (insurance licensing, solvency capital requirements, actuarial oversight), long-duration contractual relationships with high switching costs, and licensed distribution networks (Transamerica, World Financial Group) that AI cannot easily displace [1][2]. The insurance value chain requires regulatory compliance, claims adjudication within legal frameworks, and fiduciary obligations creating structural barriers to AI substitution. CTO Deb Waters describes AI as a tool for improving outcomes and freeing capacity for higher-value work, not as a disruption threat [2]. While AI could partially automate underwriting, claims processing, and customer service, these represent operational efficiency gains for incumbents rather than existential threats. No analyst has flagged AI as a displacement risk for diversified life insurers. AI Opportunity (0/1): Aegon does not generate quantifiable revenue from AI products. The company uses AI internally for retirement savings optimization, fraud detection, and process automation, but these are cost-saving tools, not revenue-generating AI offerings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Aegon H1 2026 Results — Operating Result EUR 804M (+9%), OCG EUR 416M (+27%), Transamerica Life Sales +54%, Solvency 169%, EUR 350M Buyback, US Redomiciliation EGM Oct 2026 — SEC 6-K,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Aegon Leadership and Strategy — CEO Lard Friese Reappointed, CTO Deb Waters on AI, Michele Bareggi Appointment, Digital Transformation — Aegon.com, Insurance Business, Equisoft, 2024-2026</w:t>
      </w:r>
    </w:p>
    <w:p>
      <w:pPr>
        <w:spacing w:before="20" w:after="20"/>
        <w:ind w:left="170"/>
      </w:pPr>
      <w:r>
        <w:rPr>
          <w:rFonts w:ascii="Calibri" w:hAnsi="Calibri"/>
          <w:b/>
          <w:color w:val="4A6B25"/>
          <w:sz w:val="15"/>
        </w:rPr>
        <w:t xml:space="preserve">3. </w:t>
      </w:r>
      <w:r>
        <w:rPr>
          <w:rFonts w:ascii="Calibri" w:hAnsi="Calibri"/>
          <w:b w:val="0"/>
          <w:color w:val="3A4A28"/>
          <w:sz w:val="17"/>
        </w:rPr>
        <w:t>Aegon ESG Profile — Sustainalytics Medium Exposure / Strong Management, S&amp;P Sustainability Yearbook 2026, FTSE4Good Index, Moderate Controversy Level — Sustainalytics, Yahoo Finance,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