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AEP</w:t>
      </w:r>
      <w:r>
        <w:rPr>
          <w:rFonts w:ascii="Calibri" w:hAnsi="Calibri"/>
          <w:b/>
          <w:color w:val="1A2010"/>
          <w:sz w:val="40"/>
        </w:rPr>
        <w:t xml:space="preserve">  American Electric Power Company, Inc.</w:t>
      </w:r>
    </w:p>
    <w:p>
      <w:pPr>
        <w:spacing w:after="120"/>
      </w:pPr>
      <w:r>
        <w:rPr>
          <w:rFonts w:ascii="Calibri" w:hAnsi="Calibri"/>
          <w:b/>
          <w:color w:val="6E8450"/>
          <w:sz w:val="18"/>
        </w:rPr>
        <w:t>DIVIDEND SLEEVE · 2026-08-31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Regulated Electric Utilities · NASDAQ · United States</w:t>
      </w:r>
    </w:p>
    <w:p>
      <w:pPr>
        <w:spacing w:after="80"/>
      </w:pPr>
      <w:r>
        <w:rPr>
          <w:rFonts w:ascii="Calibri" w:hAnsi="Calibri"/>
          <w:b w:val="0"/>
          <w:color w:val="3A4A28"/>
          <w:sz w:val="20"/>
        </w:rPr>
        <w:t>American Electric Power Company is one of the largest electric utilities in the United States, providing electricity to approximately 5.6 million customers across 11 states through regulated subsidiaries. The company owns approximately 27,000 miles of transmission lines — the largest network in the U.S. — and is experiencing unprecedented load growth driven by AI data centers and hyperscalers, with 69 GW of new load additions identified through 2030. AEP has a $54B five-year capital plan and raised its FY2026 operating earnings guidance to $6.25-$6.55/share, reflecting an expected operating EPS CAGR of greater than 9% through 2030. The company has paid dividends for 116 consecutive years.</w:t>
      </w:r>
    </w:p>
    <w:p>
      <w:r>
        <w:rPr>
          <w:rFonts w:ascii="Calibri" w:hAnsi="Calibri"/>
          <w:b/>
          <w:color w:val="6E8450"/>
          <w:sz w:val="18"/>
        </w:rPr>
        <w:t>16,000 Employees · https://www.aep.com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AEP is undergoing a significant transformation from a traditional coal-heavy utility to a data center-focused growth utility, with 69 GW of new load additions identified through 2030 driven primarily by AI data centers and hyperscalers [1]. The SoftBank partnership to build massive combined AI data center and power infrastructure represents a transformative strategic pivot. However, the core business model remains regulated electricity distribution — the innovation is in the customer mix and capital deployment, not the fundamental service delivery. AI Deployment (1/2): AEP established a Managing Director of Enterprise AI position, conducted an inaugural AI Hack-a-thon and AI Roadshow, and formed partnerships with Microsoft, Anthropic, and Databricks to advance AI capabilities for operations and customer support [2]. These are internal deployments without specific cost savings or revenue quantified yet. Market Share (1/2): AEP is among the largest U.S. electric utilities serving 5.6M customers with the nation's largest transmission network (27,000+ miles), but is not the largest utility overall (Duke Energy, Southern Company, NextEra have larger market caps or customer counts) [1]. Pipeline (2/2): The 69 GW data center load pipeline through 2030, $54B five-year capital plan, and SoftBank partnership provide extraordinary visibility into future growth with specific timelines and revenue implications [1][2]. Nearly 11% annual rate-base growth is projected through 2030. R&amp;D Intensity (0/1): Utilities are capital-intensive, not R&amp;D-intensive. AEP's innovation investment flows through its capital plan rather than a traditional R&amp;D budget, which is below industry average for the technology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AEP's purpose — 'powering a new and brighter future for our customers and communities' — identifies what the company does and connects it to community well-being, but is not deeply distinctive from other utility peers [2]. The mission is standard for the regulated utility industry and doesn't articulate a transformative vision beyond reliable electricity delivery. Community Impact (1/2): AEP has demonstrated community commitment through 16 years of ESG disclosure, an environmental and social justice policy adopted in 2022, and community programs across its 11-state service territory [3]. However, specific charitable dollar amounts and distinctive community investment programs were not found. Employee Retention (0/2): No specific employee retention data, voluntary turnover rates, or average tenure figures were publicly available for AEP. The organizational restructuring under CEO Fehrman (streamlining and moving decision-making closer to customers) may signal change rather than stability. Insider Buying (0/2): No specific insider buying data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AEP demonstrates strong financial characteristics for a regulated utility with revenue growth of 10% YoY and a 5-year CAGR of 7.74%, both well above typical utility growth rates and approaching the 10% target [1]. The 116-year unbroken dividend payment streak (scoring maximum on consecutive years paid at 2x weight) and 15 consecutive years of increases anchor the dividend metrics [4]. Forward P/E of 20.86x is near the 20x target, reflecting a reasonable premium for the AI data center growth narrative. The primary drags are D/E of 154%, moderately above the 70% target but typical for a capital-intensive regulated utility, and ROE of 12.49% below the 15% target [4]. Profit margin of 16.36% is respectable for a regulated utility but below the 20% target. The 5-year dividend growth CAGR of 5.66% nearly meets the 6% target. Liquidity is ample: $122 stock price with 3.05M average daily volume (~$372M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AEP demonstrates the endurance characteristic of infinite game players — 116 consecutive years of dividend payments is among the longest unbroken streaks in American corporate history, reflecting an institution built to persist through wars, depressions, deregulation, and now the AI revolution. The company's pivot to serve data center demand shows strategic adaptability. However, the competitive dynamics of a regulated utility are structurally different from Sinek's framework — competition is regulatory rather than market-based, and AEP's endurance reflects regulatory protection as much as purpose-driven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'Powering a new and brighter future for customers and communities' reflects a genuine commitment to essential service delivery validated by 116 years of continuous operation through every major crisis in American history [1]. The company's pivot to serve AI data center demand while keeping rates affordable for existing customers ('spreading costs') shows the cause evolving with the times. The 2050 net zero commitment and 2022 environmental and social justice policy connect operations to broader societal impact [3]. However, this is an industry-standard purpose for a regulated utility — not the transformative vision that Sinek reserves for the highest tier.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AEP has maintained organizational stability through leadership transitions and regulatory changes across 11 states, with 16,000 employees operating critical infrastructure that requires high internal coordination and trust [1]. CEO Fehrman's organizational restructuring to push decision-making closer to customers suggests empowerment. However, no specific data on employee engagement, voluntary turnover, or cultural practices was found to confirm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AEP operates in a regulated utility environment where competition is structured through regulatory proceedings rather than market dynamics. No evidence was found of leadership framing peer utilities (Duke, Southern, NextEra) as worthy rivals whose strengths drive self-improvement. The competitive landscape in regulated utilities does not naturally produce the kind of rival-oriented learning that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AEP is transitioning from a coal-heavy generation portfolio to a diversified utility focused on data center load growth, renewable energy, and transmission investment [1][2]. The $54B five-year capital plan and SoftBank partnership represent significant strategic evolution. However, this transition is driven by regulatory pressure (emissions requirements) and market opportunity (data centers) rather than a purpose-driven choice to abandon a profitable business model — coal retirements are largely mandated, not voluntary.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AEP committed to an 80% emissions reduction by 2030 and net zero by 2050, requiring substantial capital investment and the retirement of coal assets that still generate revenue [3]. The $54B five-year capital plan is a significant long-term bet on grid modernization and data center growth. CEO Fehrman's organizational streamlining demonstrates willingness to change the operating model. However, these decisions align with regulatory requirements and market incentives rather than representing sacrificial choices against the grain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Electric Power is a direct and compounding beneficiary of the AI revolution — the company has identified 69 GW of new data center load through 2030, the SoftBank partnership will build facilities requiring power equivalent to one-third of Ohio's generation capacity, and the $54B five-year capital plan supports nearly 11% annual rate-base growth [1][2]. The raised FY2026 operating earnings guidance of $6.25-$6.55/share and &gt;9% EPS CAGR through 2030 represent growth rates historically reserved for technology companies, not utilities. The 116-year unbroken dividend streak with 15 consecutive years of increases provides income reliability, and the 3.11% yield with 56.5% payout ratio offers both current income and growth potential. Revenue growth of 10% YoY and a 5-year CAGR of 7.74% demonstrate that AI-driven electricity demand is already translating into financial results [1][4].</w:t>
      </w:r>
    </w:p>
    <w:p>
      <w:pPr>
        <w:spacing w:after="120"/>
      </w:pPr>
      <w:r>
        <w:rPr>
          <w:rFonts w:ascii="Calibri" w:hAnsi="Calibri"/>
          <w:b w:val="0"/>
          <w:color w:val="3A4A28"/>
          <w:sz w:val="20"/>
        </w:rPr>
        <w:t>The bear case focuses on execution risk, leverage, and valuation. AEP's D/E of 154% is elevated and will increase further as the company deploys $54B in capital over five years — any interest rate increases or regulatory disallowances could compress returns below the cost of capital [4]. The forward P/E of 20.86x is above the utility sector average and prices in significant data center growth that may face headwinds from power availability constraints, permitting delays, or hyperscaler capex pullbacks. ROE of 12.49% is below the 15% target, suggesting regulatory returns have not yet reflected the growth investments. The 5-year dividend growth CAGR of 5.66% is slightly below the 6% target, and the 56.5% payout ratio limits dividend acceleration. Operating across 11 state regulatory jurisdictions creates execution complexity — each jurisdiction can challenge rate increases, delay capital recovery, or impose conditions on data center agreements. The Inspire Impact Score of -67 (MISALIGNED) may limit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load materialization as 69 GW of identified demand through 2030 converts to executed service agreements and rate-base investment — each GW of new load supports billions in transmission and distribution capital that earns regulated returns [1][2]</w:t>
      </w:r>
    </w:p>
    <w:p>
      <w:pPr>
        <w:spacing w:before="40" w:after="40"/>
        <w:ind w:left="283"/>
      </w:pPr>
      <w:r>
        <w:rPr>
          <w:rFonts w:ascii="Calibri" w:hAnsi="Calibri"/>
          <w:b/>
          <w:color w:val="4A6B25"/>
          <w:sz w:val="20"/>
        </w:rPr>
        <w:t xml:space="preserve">2. </w:t>
      </w:r>
      <w:r>
        <w:rPr>
          <w:rFonts w:ascii="Calibri" w:hAnsi="Calibri"/>
          <w:b w:val="0"/>
          <w:color w:val="3A4A28"/>
          <w:sz w:val="20"/>
        </w:rPr>
        <w:t>SoftBank partnership expansion and additional hyperscaler agreements (Amazon, Google already active) could accelerate the load growth trajectory beyond current 69 GW pipeline [2]</w:t>
      </w:r>
    </w:p>
    <w:p>
      <w:pPr>
        <w:spacing w:before="40" w:after="40"/>
        <w:ind w:left="283"/>
      </w:pPr>
      <w:r>
        <w:rPr>
          <w:rFonts w:ascii="Calibri" w:hAnsi="Calibri"/>
          <w:b/>
          <w:color w:val="4A6B25"/>
          <w:sz w:val="20"/>
        </w:rPr>
        <w:t xml:space="preserve">3. </w:t>
      </w:r>
      <w:r>
        <w:rPr>
          <w:rFonts w:ascii="Calibri" w:hAnsi="Calibri"/>
          <w:b w:val="0"/>
          <w:color w:val="3A4A28"/>
          <w:sz w:val="20"/>
        </w:rPr>
        <w:t>Regulatory approvals for new tariff structures requiring data centers to meet load expectations would de-risk revenue visibility and protect existing customers from subsidy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demand deferral or cancellation if hyperscaler capital spending slows, power availability constraints emerge, or alternative energy arrangements (on-site generation, nuclear SMRs) reduce reliance on utility-provided power [1]</w:t>
      </w:r>
    </w:p>
    <w:p>
      <w:pPr>
        <w:spacing w:before="40" w:after="40"/>
        <w:ind w:left="283"/>
      </w:pPr>
      <w:r>
        <w:rPr>
          <w:rFonts w:ascii="Calibri" w:hAnsi="Calibri"/>
          <w:b/>
          <w:color w:val="4A6B25"/>
          <w:sz w:val="20"/>
        </w:rPr>
        <w:t xml:space="preserve">2. </w:t>
      </w:r>
      <w:r>
        <w:rPr>
          <w:rFonts w:ascii="Calibri" w:hAnsi="Calibri"/>
          <w:b w:val="0"/>
          <w:color w:val="3A4A28"/>
          <w:sz w:val="20"/>
        </w:rPr>
        <w:t>Multi-state regulatory risk across 11 jurisdictions where rate case outcomes, capital recovery mechanisms, and data center interconnection policies could diverge unfavorably [1]</w:t>
      </w:r>
    </w:p>
    <w:p>
      <w:pPr>
        <w:spacing w:before="40" w:after="40"/>
        <w:ind w:left="283"/>
      </w:pPr>
      <w:r>
        <w:rPr>
          <w:rFonts w:ascii="Calibri" w:hAnsi="Calibri"/>
          <w:b/>
          <w:color w:val="4A6B25"/>
          <w:sz w:val="20"/>
        </w:rPr>
        <w:t xml:space="preserve">3. </w:t>
      </w:r>
      <w:r>
        <w:rPr>
          <w:rFonts w:ascii="Calibri" w:hAnsi="Calibri"/>
          <w:b w:val="0"/>
          <w:color w:val="3A4A28"/>
          <w:sz w:val="20"/>
        </w:rPr>
        <w:t>Balance sheet stress from $54B capital deployment at D/E of 154% — rising interest rates, regulatory lag, or construction cost overruns could compress earned ROE below authorized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AEP is structurally immune to AI disruption — the company provides essential electricity infrastructure that AI data centers require in massive quantities [1][2]. AI does not substitute for electricity; AI dramatically increases demand for it. AEP has identified 69 GW of new load through 2030 driven primarily by data centers and hyperscalers, and a single SoftBank-AEP facility will require power equivalent to nearly one-third of Ohio's current total generation capacity [2]. The company's 27,000-mile transmission network and regulated utility franchises across 11 states create physical infrastructure moats that AI cannot displace. CEO Fehrman noted these partnerships 'unlock billions in electric transmission infrastructure without increasing customer rates.' Every advancement in AI capabilities increases electricity demand, making AEP a direct and compounding beneficiary of the AI revolution. AI Opportunity (1/1): AEP generates quantifiable revenue from powering AI data centers through regulated tariffs and new service agreements. The 69 GW data center pipeline represents billions in future rate-base investment and revenue, directly attributable to AI-driven electricity demand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AEP Q1-Q2 2026 Earnings — Raised FY2026 operating earnings guidance to $6.25-$6.55/share, Q1 revenue $6.02B (+10% YoY), 69 GW new data center load through 2030, $54B five-year capital plan, &gt;9% EPS CAGR target through 2030, August 2026</w:t>
      </w:r>
    </w:p>
    <w:p>
      <w:pPr>
        <w:spacing w:before="20" w:after="20"/>
        <w:ind w:left="170"/>
      </w:pPr>
      <w:r>
        <w:rPr>
          <w:rFonts w:ascii="Calibri" w:hAnsi="Calibri"/>
          <w:b/>
          <w:color w:val="4A6B25"/>
          <w:sz w:val="15"/>
        </w:rPr>
        <w:t xml:space="preserve">2. </w:t>
      </w:r>
      <w:r>
        <w:rPr>
          <w:rFonts w:ascii="Calibri" w:hAnsi="Calibri"/>
          <w:b w:val="0"/>
          <w:color w:val="3A4A28"/>
          <w:sz w:val="17"/>
        </w:rPr>
        <w:t>AEP AI &amp; Data Center Strategy — SoftBank partnership (one-third of Ohio generation capacity), Managing Director of Enterprise AI, partnerships with Microsoft/Anthropic/Databricks, CEO Fehrman organizational streamlining — AEP News, Utility Dive, AI Magazine, ARC Advisory Group, 2025-2026</w:t>
      </w:r>
    </w:p>
    <w:p>
      <w:pPr>
        <w:spacing w:before="20" w:after="20"/>
        <w:ind w:left="170"/>
      </w:pPr>
      <w:r>
        <w:rPr>
          <w:rFonts w:ascii="Calibri" w:hAnsi="Calibri"/>
          <w:b/>
          <w:color w:val="4A6B25"/>
          <w:sz w:val="15"/>
        </w:rPr>
        <w:t xml:space="preserve">3. </w:t>
      </w:r>
      <w:r>
        <w:rPr>
          <w:rFonts w:ascii="Calibri" w:hAnsi="Calibri"/>
          <w:b w:val="0"/>
          <w:color w:val="3A4A28"/>
          <w:sz w:val="17"/>
        </w:rPr>
        <w:t>AEP ESG &amp; Sustainability — 80% emissions reduction target by 2030, net zero by 2050, 16 years ESG disclosure, 2022 environmental and social justice policy — AEP Corporate, Climate Action 100+,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TIKR — AEP Key Statistics: Forward P/E 20.86x, D/E 154%, ROE 12.49%, Profit Margin 16.36%, Dividend Yield 3.11%, 116-year dividend streak, 15 consecutive years growth, Stock Price ~$122,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