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AGNC</w:t>
      </w:r>
      <w:r>
        <w:rPr>
          <w:rFonts w:ascii="Calibri" w:hAnsi="Calibri"/>
          <w:b/>
          <w:color w:val="1A2010"/>
          <w:sz w:val="40"/>
        </w:rPr>
        <w:t xml:space="preserve">  AGNC Investment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2026-10-03 · Inspire: 54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Mortgage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AGNC is an internally managed agency mortgage REIT investing in agency mortgage-backed securities. Q2 2026 comprehensive income was $0.52 per share, tangible net book value was $8.58 (+2.4% QoQ), and the monthly $0.12 dividend (about $1.44 annualized) has been maintained for 75 months [1].</w:t>
      </w:r>
    </w:p>
    <w:p>
      <w:r>
        <w:rPr>
          <w:rFonts w:ascii="Calibri" w:hAnsi="Calibri"/>
          <w:b/>
          <w:color w:val="6E8450"/>
          <w:sz w:val="18"/>
        </w:rPr>
        <w:t>54 Employees · https://agnc.com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Disciplined hedging and portfolio repositioning across rate cycles, but business model unchanged for years [1]. AI Deployment (0/2): None found. Market Share (2/2): Largest agency-focused mortgage REIT with about $10.4B market cap. Pipeline (0/2): No product pipeline. R&amp;D (0/1): None.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Provides private capital to the U.S. housing market, clear but standard for the industry. Community (1/2): Indirect housing-finance role and modest corporate philanthropy; no program dollars verified. Retention (0/2): No data. Insider Buying (0/2): No net buying verified.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as a Dividend stock on available metrics (revenue metrics unavailable). D/E 717% (0.0), ROE 19.8% (1.0), forward P/E 5.9 (1.0), profit margin 94.4% (1.0), payout 71.6% (0.47), 17+ years paid (1.0, 2x), growth streak 0 (0.0), 5yr dividend CAGR negative after the 2020 reduction (0.0, 2x). Weighted 5.47 of 10 gives 5. Dollar volume exceeds $200M daily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AGNC is an internally managed, leveraged spread vehicle. Its purpose is functional, the business is levered to rates, and its 2020 dividend reduction shows return-driven rather than cause-driven decisions.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Providing private capital to housing is a purpose statement but does not shape strategy beyond spread capture.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Small, stable internal management team; no evidence of exceptional culture data.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Frames performance around economic return and book value rather than learning from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Has adjusted portfolio mix and hedging across multiple rate cycles, and cut the dividend in 2020, but the model is unchanged.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held a steady $0.12 monthly dividend for 75 months and built book value to $8.58 rather than chase yield through leverage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AGNC at $8.79 trades at 5.9x forward earnings with a roughly 16% yield, covered by Q2 2026 comprehensive income of $0.52 per share against $0.36 of dividends [1]. Tangible book value rose 2.4% to $8.58 and economic return was 6.7% for the quarter, while the $0.12 monthly dividend has held for 75 months. ROE of 19.8% and a 94% margin reflect an efficient internal management structure.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leverage and rate sensitivity: D/E is 717%, the price sits about 2% to 28% above book value depending on date (a premium that has compressed [1]), and the 2020 dividend cut shows the payout is not guaranteed. The payout ratio of 71.6% leaves limited cushion, dividend growth is negative over five years, and rate volatility or wider MBS spreads can erase book value quickly. Stock is below its 50-day average of $10.23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Rising tangible book value ($8.58, +2.4% QoQ) supporting the dividend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Stable $0.12 monthly dividend and economic return of 6.7% per quarter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Lower rate volatility or Fed easing narrowing MBS spreads and boosting book value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Leverage with D/E of 717% magnifies losses if MBS spreads widen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Dividend sustainability: payout ratio 71.6% and a 2020 cut precedent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Premium to book value compressing the share price even if book value stays stable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Returns come from spread on agency MBS, driven by interest rates, prepayments and hedging, not by tasks AI can replace; a 54-person internal team is lean. Rate and Fed policy risk dominates, not AI risk. AI Opportunity (0/1):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AGNC Q2 2026 Financial Results, AGNC Investor Relations and TradingView, July-August 2026; Motley Fool,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