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AHCO</w:t>
      </w:r>
      <w:r>
        <w:rPr>
          <w:rFonts w:ascii="Calibri" w:hAnsi="Calibri"/>
          <w:b/>
          <w:color w:val="1A2010"/>
          <w:sz w:val="40"/>
        </w:rPr>
        <w:t xml:space="preserve">  AdaptHealth Corp.</w:t>
      </w:r>
    </w:p>
    <w:p>
      <w:pPr>
        <w:spacing w:after="120"/>
      </w:pPr>
      <w:r>
        <w:rPr>
          <w:rFonts w:ascii="Calibri" w:hAnsi="Calibri"/>
          <w:b/>
          <w:color w:val="6E8450"/>
          <w:sz w:val="18"/>
        </w:rPr>
        <w:t>GROWTH SLEEVE · 2026-09-24 · Inspire: 34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Medical Devices · NASDAQ · United States</w:t>
      </w:r>
    </w:p>
    <w:p>
      <w:pPr>
        <w:spacing w:after="80"/>
      </w:pPr>
      <w:r>
        <w:rPr>
          <w:rFonts w:ascii="Calibri" w:hAnsi="Calibri"/>
          <w:b w:val="0"/>
          <w:color w:val="3A4A28"/>
          <w:sz w:val="20"/>
        </w:rPr>
        <w:t>AdaptHealth distributes home medical equipment (HME), medical supplies, and home healthcare services across the United States through four segments: Sleep Health, Respiratory Health, Diabetes Health, and Wellness at Home. The company services Medicare, Medicaid, and commercial insurance beneficiaries with CPAP machines, oxygen concentrators, insulin pumps, CGMs, wheelchairs, and other HME devices. Q2 2026 revenue of $740.3M (+12.7% YoY) with organic growth accelerating to 15.9%, but profitability has deteriorated significantly with a $144.2M goodwill impairment and adjusted loss of $0.99 per share. FY2026 guidance reduced to $2.85-2.89B revenue and $490-520M EBITDA. Market cap approximately $760M.</w:t>
      </w:r>
    </w:p>
    <w:p>
      <w:r>
        <w:rPr>
          <w:rFonts w:ascii="Calibri" w:hAnsi="Calibri"/>
          <w:b/>
          <w:color w:val="6E8450"/>
          <w:sz w:val="18"/>
        </w:rPr>
        <w:t>10,900 Employees · https://adapthealth.com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AdaptHealth has executed incremental operational improvements under CEO Suzanne Foster (appointed May 2024) but no transformative product launches or business model pivots — growth has come primarily through M&amp;A consolidation in a fragmented HME market, and Q2 2026 strategic portfolio changes suggest ongoing business rationalization [1]. AI Deployment (2/2): The company deployed AI-powered self-scheduling for CPAP setups, AI chatbots for customer service, and virtual setup features in MyApp that cut average sleep setup time to 9 days versus a 17-18 day industry average — a quantified efficiency gain shipping directly to customers [2]. Market Share (1/2): AdaptHealth is a meaningful player in HME distribution with ~$2.9B guided revenue but operates in a highly fragmented market without dominant share; the capitated care model covering ~50,000 members is a share-gaining initiative [1]. Pipeline (1/2): Q2 2026 organic growth of 15.9% — the highest quarterly rate in over a year — was broad-based across all four segments, validating the operational improvements, but pipeline visibility beyond current contracts remains limited [1]. R&amp;D Intensity (0/1): As a distributor, AdaptHealth spends minimally on R&amp;D — innovation is operational rather than product-driven.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AdaptHealth's purpose centers on empowering patients to live their best lives at home through HME and services — clear and healthcare-specific but not distinctive among HME companies [3]. Community Impact (1/2): The company serves Medicare and Medicaid beneficiaries, providing essential medical equipment to underserved populations, but no specific charitable programs or foundation activity was identified [3]. Employee Retention (0/2): Glassdoor rating has deteriorated further to 2.9/5 (884+ reviews, down 12% over the past year) with significant complaints about overwork, understaffing, constant leadership changes, and upper management playing politics — employees describe a low-trust environment [4]. Insider Buying (1/2): Notable insider buying in March 2026: OEP VII purchased $19.9M in shares at $9.73 and Director Dale Wolf bought $71,680, showing insider conviction at depressed prices — though these purchases are now significantly underwater at $5.70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reflecting significant deterioration since Q1 2026. Q2 2026 revenue of $740.3M (+12.7% YoY) with record 15.9% organic growth masked a profitability crisis: operating loss of $137.8M driven by a $144.2M non-cash goodwill impairment charge, and adjusted loss per share of -$0.99 against analyst expectations of $0.15 profit [1]. FY2026 guidance was slashed from $3.45-3.52B to $2.85-2.89B revenue and from $680-730M to $490-520M EBITDA following strategic portfolio changes. D/E of 149% reflects leveraged acquisition history (score 0.66). ROE of -15.2% and profit margin of -6.8% both score 0.0, with ROE carrying 2x weight for growth stocks [5]. Forward P/E of -46x (negative earnings) scores 0.0. Revenue growth YoY of 12.7% scores 1.0, and 5yr revenue CAGR of ~3% scores 0.53 (2x weight). Liquidity passes: 2.82M avg volume x $5.70 = $16.1M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AdaptHealth under CEO Suzanne Foster is navigating a painful turnaround — pivoting from acquisition-driven growth to organic efficiency and capitated care while absorbing a $144.2M goodwill impairment and data breach lawsuit. The company's 2.9/5 Glassdoor rating (declining 12%), constant leadership turnover, and unproven capitated model suggest it is fighting for survival rather than playing an infinite game. The Q2 2026 organic growth of 15.9% validates the operating strategy, but the financial distress and cultural dysfunction point to a finite-game orientation.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AdaptHealth's purpose of empowering patients to live their best lives at home is genuine healthcare-focused but reads as an operational description rather than a transformative Just Cause [3]. The company exists to distribute HME efficiently — a worthwhile function but not a vision of a future state so compelling people sacrifice to advance it. No evidence the mission shapes strategic decisions beyond standard healthcare delivery.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has deteriorated to 2.9/5 with 884+ reviews (declining 12% over the past year) citing constant leadership changes, upper management politics, overwork, and understaffing [4]. The CEO, COO, and CCO have all changed within the past two years, creating organizational instability. A July 2026 data breach putting patient information at risk further erodes organizational trust [6]. While Foster's Danaher background brings operational discipline, the evidence points to a low-trust environment where employees feel unheard and expendable.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AdaptHealth's competitive language focuses on consolidation and market share gains through M&amp;A and capitated contract wins rather than learning from rivals or improving through competitive pressure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shift from acquisition-driven growth to capitated care models and organic growth under Foster represents meaningful strategic evolution. Q2 2026's record 15.9% organic growth validates the new direction, and the strategic portfolio changes (including divestitures reflected in reduced FY2026 guidance) show willingness to reshape the business [1]. However, the transformation is adaptive, not yet transformative.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CEO Foster's early decision to go-live on the capitated contract and her willingness to take a $144.2M goodwill impairment write-down demonstrate honesty about past acquisition missteps [1]. However, FY2026 guidance was slashed dramatically from $3.45-3.52B to $2.85-2.89B revenue and from $680-730M to $490-520M EBITDA, suggesting the transformation is driven more by necessity than by courageous long-term vision. The data breach lawsuit and operational losses point to reactive crisis management rather than proactive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AdaptHealth's Q2 2026 organic growth of 15.9% — the highest quarterly rate in over a year — validates CEO Foster's pivot from acquisition-driven expansion to operational efficiency and capitated care [1]. At $5.70 per share with ~$2.9B guided revenue, the stock trades at a fraction of healthcare peer multiples, offering deep-value turnaround optionality if Foster can execute the margin recovery. The physical HME distribution model is structurally immune to AI disruption, and AdaptHealth's AI-powered operational tools (myAPP, AI chatbots) are generating measurable efficiency gains [2]. The $19.9M insider purchase by OEP VII at $9.73 signals institutional conviction in the turnaround thesis [5].</w:t>
      </w:r>
    </w:p>
    <w:p>
      <w:pPr>
        <w:spacing w:after="120"/>
      </w:pPr>
      <w:r>
        <w:rPr>
          <w:rFonts w:ascii="Calibri" w:hAnsi="Calibri"/>
          <w:b w:val="0"/>
          <w:color w:val="3A4A28"/>
          <w:sz w:val="20"/>
        </w:rPr>
        <w:t>The bear case is severe and multi-dimensional. Q2 2026 operating loss of $137.8M including a $144.2M goodwill impairment — and adjusted loss of -$0.99 per share against analyst expectations of $0.15 profit — represents a dramatic miss that has cratered the stock from $9.74 to $5.70 [1]. FY2026 guidance was slashed from $3.45-3.52B to $2.85-2.89B revenue (18% reduction) and from $680-730M to $490-520M EBITDA (29% cut) following strategic portfolio changes [1]. D/E of 149% with $2.0B+ debt constrains flexibility during the transformation. A July 2026 data breach put patient information at risk, creating litigation exposure and reputational damage [6]. Glassdoor has deteriorated to 2.9/5 (declining 12% year-over-year) with complaints about constant leadership turnover, overwork, and management politics [4]. Medicare/Medicaid reimbursement rate pressure from federal budget constraints could further compress margins on the majority of revenue.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Organic revenue growth acceleration to 15.9% in Q2 2026 — the highest in over a year — validating the capitated care model and operational improvements across all four HME segments [1]</w:t>
      </w:r>
    </w:p>
    <w:p>
      <w:pPr>
        <w:spacing w:before="40" w:after="40"/>
        <w:ind w:left="283"/>
      </w:pPr>
      <w:r>
        <w:rPr>
          <w:rFonts w:ascii="Calibri" w:hAnsi="Calibri"/>
          <w:b/>
          <w:color w:val="4A6B25"/>
          <w:sz w:val="20"/>
        </w:rPr>
        <w:t xml:space="preserve">2. </w:t>
      </w:r>
      <w:r>
        <w:rPr>
          <w:rFonts w:ascii="Calibri" w:hAnsi="Calibri"/>
          <w:b w:val="0"/>
          <w:color w:val="3A4A28"/>
          <w:sz w:val="20"/>
        </w:rPr>
        <w:t>Profitability normalization after the $144.2M non-cash goodwill impairment as the revised $490-520M EBITDA guidance provides a reset baseline for margin recovery in H2 2026 [1]</w:t>
      </w:r>
    </w:p>
    <w:p>
      <w:pPr>
        <w:spacing w:before="40" w:after="40"/>
        <w:ind w:left="283"/>
      </w:pPr>
      <w:r>
        <w:rPr>
          <w:rFonts w:ascii="Calibri" w:hAnsi="Calibri"/>
          <w:b/>
          <w:color w:val="4A6B25"/>
          <w:sz w:val="20"/>
        </w:rPr>
        <w:t xml:space="preserve">3. </w:t>
      </w:r>
      <w:r>
        <w:rPr>
          <w:rFonts w:ascii="Calibri" w:hAnsi="Calibri"/>
          <w:b w:val="0"/>
          <w:color w:val="3A4A28"/>
          <w:sz w:val="20"/>
        </w:rPr>
        <w:t>AI-powered operational efficiencies (myAPP setup time reduced to 9 days vs 17-18 day industry average) driving cost reduction and improved patient throughput across Sleep Health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guidance slashed 18% on revenue ($2.85-2.89B vs prior $3.45-3.52B) and 29% on EBITDA ($490-520M vs prior $680-730M) following strategic portfolio changes, signaling structural profitability challenges beyond one-time impairments [1]</w:t>
      </w:r>
    </w:p>
    <w:p>
      <w:pPr>
        <w:spacing w:before="40" w:after="40"/>
        <w:ind w:left="283"/>
      </w:pPr>
      <w:r>
        <w:rPr>
          <w:rFonts w:ascii="Calibri" w:hAnsi="Calibri"/>
          <w:b/>
          <w:color w:val="4A6B25"/>
          <w:sz w:val="20"/>
        </w:rPr>
        <w:t xml:space="preserve">2. </w:t>
      </w:r>
      <w:r>
        <w:rPr>
          <w:rFonts w:ascii="Calibri" w:hAnsi="Calibri"/>
          <w:b w:val="0"/>
          <w:color w:val="3A4A28"/>
          <w:sz w:val="20"/>
        </w:rPr>
        <w:t>Data breach lawsuit (July 2026) puts patient information at risk and creates litigation exposure, reputational damage, and potential regulatory penalties for a healthcare company entrusted with sensitive patient data [6]</w:t>
      </w:r>
    </w:p>
    <w:p>
      <w:pPr>
        <w:spacing w:before="40" w:after="40"/>
        <w:ind w:left="283"/>
      </w:pPr>
      <w:r>
        <w:rPr>
          <w:rFonts w:ascii="Calibri" w:hAnsi="Calibri"/>
          <w:b/>
          <w:color w:val="4A6B25"/>
          <w:sz w:val="20"/>
        </w:rPr>
        <w:t xml:space="preserve">3. </w:t>
      </w:r>
      <w:r>
        <w:rPr>
          <w:rFonts w:ascii="Calibri" w:hAnsi="Calibri"/>
          <w:b w:val="0"/>
          <w:color w:val="3A4A28"/>
          <w:sz w:val="20"/>
        </w:rPr>
        <w:t>Deteriorating employee culture (2.9/5 Glassdoor declining 12% YoY, constant leadership changes) undermining operational improvements and creating retention risk during a critical transformation period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AdaptHealth's core business involves physical distribution and in-home setup of medical equipment (CPAP machines, oxygen concentrators, wheelchairs, insulin pumps) — operations requiring hands-on patient interaction, Medicare/Medicaid compliance, prescription verification, and equipment fitting that are structurally immune to AI substitution [1]. The home healthcare services segment and payer relationship management add regulatory moats that AI cannot replicate. AI is more likely to increase demand for remote patient monitoring equipment than to disrupt the distribution model. AI Opportunity (1/1): AdaptHealth is actively deploying AI for operational efficiency — AI chatbots, self-scheduling for CPAP setups, virtual setup features in MyApp cutting setup times from 17-18 days to 9 days — generating measurable cost savings and improved patient throughput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AdaptHealth Corp. Q2 2026 Earnings — Revenue $740.3M (+12.7% YoY), organic growth 15.9%, operating loss $137.8M ($144.2M impairment), FY2026 guidance reduced, Investing.com/Seeking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AdaptHealth AI Deployment and Operational Strategy — AI chatbots, myAPP virtual setups, sleep setup time reduction 9 days vs 17-18 day industry average, Seeking Alpha/Canaccord Conference, 2026</w:t>
      </w:r>
    </w:p>
    <w:p>
      <w:pPr>
        <w:spacing w:before="20" w:after="20"/>
        <w:ind w:left="170"/>
      </w:pPr>
      <w:r>
        <w:rPr>
          <w:rFonts w:ascii="Calibri" w:hAnsi="Calibri"/>
          <w:b/>
          <w:color w:val="4A6B25"/>
          <w:sz w:val="15"/>
        </w:rPr>
        <w:t xml:space="preserve">3. </w:t>
      </w:r>
      <w:r>
        <w:rPr>
          <w:rFonts w:ascii="Calibri" w:hAnsi="Calibri"/>
          <w:b w:val="0"/>
          <w:color w:val="3A4A28"/>
          <w:sz w:val="17"/>
        </w:rPr>
        <w:t>AdaptHealth Corp. ESG Overview and Corporate Mission — adapthealth.com,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Glassdoor — AdaptHealth Reviews (884+ reviews, 2.9/5 rating, declining 12% over past year),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AHCO Key Statistics: Stock Price $5.70, D/E 149%, ROE -15.2%, Forward P/E -46x, insider transactions, accessed September 2026</w:t>
      </w:r>
    </w:p>
    <w:p>
      <w:pPr>
        <w:spacing w:before="20" w:after="20"/>
        <w:ind w:left="170"/>
      </w:pPr>
      <w:r>
        <w:rPr>
          <w:rFonts w:ascii="Calibri" w:hAnsi="Calibri"/>
          <w:b/>
          <w:color w:val="4A6B25"/>
          <w:sz w:val="15"/>
        </w:rPr>
        <w:t xml:space="preserve">6. </w:t>
      </w:r>
      <w:r>
        <w:rPr>
          <w:rFonts w:ascii="Calibri" w:hAnsi="Calibri"/>
          <w:b w:val="0"/>
          <w:color w:val="3A4A28"/>
          <w:sz w:val="17"/>
        </w:rPr>
        <w:t>ClassAction.org — AdaptHealth Data Breach Puts Patient Info at Risk, Lawsuit Possible,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