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AIIO</w:t>
      </w:r>
      <w:r>
        <w:rPr>
          <w:rFonts w:ascii="Calibri" w:hAnsi="Calibri"/>
          <w:b/>
          <w:color w:val="1A2010"/>
          <w:sz w:val="40"/>
        </w:rPr>
        <w:t xml:space="preserve">  Robo.ai Inc.</w:t>
      </w:r>
    </w:p>
    <w:p>
      <w:pPr>
        <w:spacing w:after="120"/>
      </w:pPr>
      <w:r>
        <w:rPr>
          <w:rFonts w:ascii="Calibri" w:hAnsi="Calibri"/>
          <w:b/>
          <w:color w:val="6E8450"/>
          <w:sz w:val="18"/>
        </w:rPr>
        <w:t>GROWTH SLEEVE · 2026-10-13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AI &amp; Robotics · NASDAQ · United Arab Emirates</w:t>
      </w:r>
    </w:p>
    <w:p>
      <w:pPr>
        <w:spacing w:after="80"/>
      </w:pPr>
      <w:r>
        <w:rPr>
          <w:rFonts w:ascii="Calibri" w:hAnsi="Calibri"/>
          <w:b w:val="0"/>
          <w:color w:val="3A4A28"/>
          <w:sz w:val="20"/>
        </w:rPr>
        <w:t>Robo.ai Inc. (formerly NWTN Inc.) is a UAE-based technology company that pivoted from electric vehicle manufacturing to an AI platform operating through multiple subsidiaries: QC Capital (structured finance and delivery services, acquired June 2026), Neurovia AI (edge data processing/compression), and Alif Holding (intelligent industrial technology). H1 2026 revenue was $55.1M (vs $0.6M prior year), driven entirely by the QC Capital acquisition, with net income of $46.7M from an $89.3M gain on ICONIQ disposal. The company claims $180M+ revenue for June-August 2026 and projects ~$600M full-year 2026 revenue, though management acknowledged revenue alone does not establish profitability or operating cash flow. Stock price has declined from $2.97 to $0.86 (~71%) since August 2026, with market cap falling to ~$102M.</w:t>
      </w:r>
    </w:p>
    <w:p>
      <w:r>
        <w:rPr>
          <w:rFonts w:ascii="Calibri" w:hAnsi="Calibri"/>
          <w:b/>
          <w:color w:val="6E8450"/>
          <w:sz w:val="18"/>
        </w:rPr>
        <w:t>50 Employees · https://www.robo-ai.com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Robo.ai completed the QC Capital acquisition in June 2026, immediately generating $180M+ in revenue for the June-August period and targeting ~$600M for FY2026, marking a dramatic pivot from the sub-$1M EV legacy revenue [1][2]. However, this is acquisition-driven revenue consolidation, not organic innovation — QC Capital operates structured finance and operational delivery services. The disposal of ICONIQ generated a one-time $89.3M gain but eliminated legacy operations rather than building new capability. AI Deployment (0/2): Despite rebranding as an AI company and appointing a local UAE leadership team for Neurovia AI (including former INTERPOL president Ahmed Naser Al-Raisi as chairman), no AI products are shipping with measurable commercial results [3]. Neurovia AI's edge-processing and data compression technology remains in development with no paying customers. Market Share (0/2): Robo.ai holds no measurable market share in any technology category; the $180M+ revenue comes from QC Capital's legacy structured finance operations, not from AI or technology products where the company claims to compete [1][2]. Product Pipeline (1/2): Neurovia AI's edge-processing technology for smart cities and autonomous driving, plus QC Capital's AI-driven structured finance, represent identifiable product concepts, but timelines remain vague and no product has achieved commercial deployment [2][3]. R&amp;D Intensity (0/1): Spending directed toward acquisitions rather than organic R&amp;D; with the company's transformation still in early stages, R&amp;D intensity is unmeasurable against the acquisition-driven revenue base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Robo.ai's mission of 'building an artificial intelligence machine economy platform' remains generic technology buzzword language that articulates no distinctive purpose or specific human need [2]. The rapid addition of subsidiaries (Neurovia AI, QC Capital, Alif Holding) and the constant narrative changes suggest the mission shifts with each acquisition. Community Impact (0/2): No evidence of charitable giving, community programs, or social impact beyond commercial press releases; the appointment of former INTERPOL president Ahmed Naser Al-Raisi to Neurovia AI's board represents a governance move, not community engagement [3]. Employee Retention (0/2): No employee retention data available; constant executive appointments across newly formed subsidiaries suggest organizational formation rather than stable culture with shared purpose. Insider Buying (0/2): No evidence of insider buying; management continues to dilute shareholders through Class B share issuances, the Yorkville equity facility, and a $300M convertible note from Burkhan Capital — systematic dilution signals the opposite of insider conviction [1][4].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Liquidity floor passes narrowly: ~1.21M avg volume × $0.86 = ~$1.04M daily dollar volume [5]. D/E of 7.7% scores perfectly (1.0, 1x weight) — low debt relative to equity. Revenue growth YoY of 9,528% scores 1.0 (1x weight) driven entirely by QC Capital acquisition consolidating ~$180M in revenue from a near-zero base, which mechanically satisfies the growth target but reflects inorganic revenue addition, not business quality [1][2]. ROE of -1,552% scores 0.0 (2x weight) reflecting massive accumulated losses against small equity base. Profit margin of -214% scores 0.0 (1x weight) as the company remains deeply unprofitable on a trailing twelve-month basis despite the H1 2026 profit from ICONIQ disposal gain [1]. Forward P/E and PEG unavailable due to lack of analyst coverage. Weighted sum: 2.0 / max 5.0 = infrastructure score of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Robo.ai remains the archetype of a finite-game player masquerading as a visionary. The company has now pivoted from EV manufacturing to AI robotics to edge computing to structured finance, amassing subsidiaries (QC Capital, Neurovia AI, Alif Holding) and executive appointments while the stock declined 71% from $2.97 to $0.86 in two months. The QC Capital acquisition generated $180M+ revenue but management itself cautioned that revenue alone does not establish profitability or operating cash flow. The $300M Burkhan Capital convertible note, ongoing Yorkville facility draws, and Class B dilution reveal a company playing to survive each quarter through financial engineering rather than building anything enduring.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There is no Just Cause. Robo.ai has pivoted its core identity multiple times — EV manufacturer NWTN, AI robotics platform, edge computing via Neurovia AI, structured finance via QC Capital, intelligent industrial technology via Alif Holding — each pivot accompanied by a new narrative but no coherent through-line [1][2][3]. The company claims to be building an 'AI machine economy platform' but the only revenue comes from QC Capital's pre-existing structured finance operations. The mission changes with each acquisition and press release.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Constant organizational restructuring undermines any possibility of cultural cohesion — Neurovia AI appointed a CEO, CTO, CGO, CMO, and a chairman (former INTERPOL president) in recent months, Alif Holding appointed its own CEO, and multiple board changes occurred including a director resignation in August 2026 [3][4]. With approximately 50 employees spread across UAE and multiple newly formed subsidiaries, each with its own management team, there is no evidence of psychological safety, shared values, or team stability.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humility or learning from rivals. Robo.ai simultaneously claims to compete in AI edge computing, data compression, structured finance, and intelligent industrial technology without acknowledging the established players whose capabilities and resources vastly exceed its own [1][2]. The company's communications suggest it can do everything while producing no evidence of competitive self-awareness.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acquisition of QC Capital in June 2026, immediately generating $180M+ revenue and targeting $600M FY2026, demonstrates willingness to fundamentally redefine the business model [1][2]. The disposal of ICONIQ and legacy EV operations for an $89.3M gain shows strategic decisiveness. However, Sinek distinguishes between cause-driven flexibility and desperation-driven flailing — revenue collapsed 92% before the pivot, the EV business failed, and the company needed any revenue narrative to sustain its listing. The flexibility is real but appears survival-driven rather than purpose-driven.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dominant leadership behavior remains financial engineering: the $300M Burkhan Capital convertible note, ongoing Yorkville equity facility draws, Class B share issuances, and systematic shareholder dilution that collapsed the stock from $2.97 to $0.86 [1][4]. Management itself cautioned that revenue alone does not establish profitability or operating cash flow, yet the PR strategy focuses entirely on revenue headlines without addressing unit economics or path to profitability. This is narrative management, not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Robo.ai at $0.86 with a ~$102M market cap has undergone a dramatic transformation through the QC Capital acquisition in June 2026, generating $180M+ revenue in the June-August period and targeting ~$600M for FY2026 — a staggering ramp from $950K in FY2025 [1][2]. H1 2026 showed $55.1M net revenue and $46.7M net income (boosted by an $89.3M ICONIQ disposal gain), while the Neurovia AI subsidiary has assembled a credentialed leadership team including former INTERPOL president Ahmed Naser Al-Raisi as chairman [3]. If QC Capital's structured finance operations sustain $600M annual revenue and Neurovia AI achieves commercial deployment, the current market cap could represent a deep value entry point at less than 0.2x revenue.</w:t>
      </w:r>
    </w:p>
    <w:p>
      <w:pPr>
        <w:spacing w:after="120"/>
      </w:pPr>
      <w:r>
        <w:rPr>
          <w:rFonts w:ascii="Calibri" w:hAnsi="Calibri"/>
          <w:b w:val="0"/>
          <w:color w:val="3A4A28"/>
          <w:sz w:val="20"/>
        </w:rPr>
        <w:t>The bear case is overwhelming. The stock has declined from $2.97 to $0.86 (-71%) in two months, and 90%+ over the past year, reflecting the market's verdict on serial dilution and narrative-driven management [4][5]. Management itself acknowledged that 'revenue alone does not establish the Company's profitability or operating cash flow position,' and the $180M+ revenue figure is preliminary, unaudited, and derived entirely from the QC Capital acquisition's legacy operations rather than organic growth [1]. Shareholder dilution continues through the $300M Burkhan Capital convertible note, ongoing Yorkville facility draws, and Class B issuances — the market cap fell from $502M to $102M even as reported revenue surged, reflecting the market pricing in further dilution [4]. Going concern doubt persists despite the revenue ramp, the accumulated deficit exceeds $900M, and Neurovia AI remains pre-revenue with no AI product shipped. The $600M FY2026 revenue target lacks profitability visibility, and the constant subsidiary creation and executive appointment cycle raises serious questions about whether the strategy is genuine or designed to sustain a stock listing through narrative management.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QC Capital delivering on $600M FY2026 revenue target with improving profitability and positive operating cash flow, validating the acquisition thesis and demonstrating the revenue is sustainable rather than one-time consolidation [1][2]</w:t>
      </w:r>
    </w:p>
    <w:p>
      <w:pPr>
        <w:spacing w:before="40" w:after="40"/>
        <w:ind w:left="283"/>
      </w:pPr>
      <w:r>
        <w:rPr>
          <w:rFonts w:ascii="Calibri" w:hAnsi="Calibri"/>
          <w:b/>
          <w:color w:val="4A6B25"/>
          <w:sz w:val="20"/>
        </w:rPr>
        <w:t xml:space="preserve">2. </w:t>
      </w:r>
      <w:r>
        <w:rPr>
          <w:rFonts w:ascii="Calibri" w:hAnsi="Calibri"/>
          <w:b w:val="0"/>
          <w:color w:val="3A4A28"/>
          <w:sz w:val="20"/>
        </w:rPr>
        <w:t>Neurovia AI achieving first commercial deployment of edge-processing and data compression technology in UAE smart city or autonomous driving projects, representing the first genuine AI product revenue [2][3]</w:t>
      </w:r>
    </w:p>
    <w:p>
      <w:pPr>
        <w:spacing w:before="40" w:after="40"/>
        <w:ind w:left="283"/>
      </w:pPr>
      <w:r>
        <w:rPr>
          <w:rFonts w:ascii="Calibri" w:hAnsi="Calibri"/>
          <w:b/>
          <w:color w:val="4A6B25"/>
          <w:sz w:val="20"/>
        </w:rPr>
        <w:t xml:space="preserve">3. </w:t>
      </w:r>
      <w:r>
        <w:rPr>
          <w:rFonts w:ascii="Calibri" w:hAnsi="Calibri"/>
          <w:b w:val="0"/>
          <w:color w:val="3A4A28"/>
          <w:sz w:val="20"/>
        </w:rPr>
        <w:t>Audited FY2026 financial results confirming the preliminary revenue figures and showing a path from going concern to self-sustaining operations without further dilutive financing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shareholder dilution from the $300M Burkhan Capital convertible note, Yorkville facility draws, and Class B issuances — stock declined 71% in two months despite reported revenue growth, reflecting market expectation of further dilution destroying per-share value [4][5]</w:t>
      </w:r>
    </w:p>
    <w:p>
      <w:pPr>
        <w:spacing w:before="40" w:after="40"/>
        <w:ind w:left="283"/>
      </w:pPr>
      <w:r>
        <w:rPr>
          <w:rFonts w:ascii="Calibri" w:hAnsi="Calibri"/>
          <w:b/>
          <w:color w:val="4A6B25"/>
          <w:sz w:val="20"/>
        </w:rPr>
        <w:t xml:space="preserve">2. </w:t>
      </w:r>
      <w:r>
        <w:rPr>
          <w:rFonts w:ascii="Calibri" w:hAnsi="Calibri"/>
          <w:b w:val="0"/>
          <w:color w:val="3A4A28"/>
          <w:sz w:val="20"/>
        </w:rPr>
        <w:t>Revenue sustainability risk — $180M+ June-August revenue and $600M FY2026 target are preliminary, unaudited figures from a recently acquired entity (QC Capital), and management itself cautioned revenue does not establish profitability or cash flow [1][2]</w:t>
      </w:r>
    </w:p>
    <w:p>
      <w:pPr>
        <w:spacing w:before="40" w:after="40"/>
        <w:ind w:left="283"/>
      </w:pPr>
      <w:r>
        <w:rPr>
          <w:rFonts w:ascii="Calibri" w:hAnsi="Calibri"/>
          <w:b/>
          <w:color w:val="4A6B25"/>
          <w:sz w:val="20"/>
        </w:rPr>
        <w:t xml:space="preserve">3. </w:t>
      </w:r>
      <w:r>
        <w:rPr>
          <w:rFonts w:ascii="Calibri" w:hAnsi="Calibri"/>
          <w:b w:val="0"/>
          <w:color w:val="3A4A28"/>
          <w:sz w:val="20"/>
        </w:rPr>
        <w:t>Liquidity floor risk — daily dollar volume of ~$1.04M barely exceeds the $1M IOWN threshold; further stock price declines below ~$0.83 would trigger the liquidity floor and reduce Infrastructure to 0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Robo.ai is attempting to position itself as an AI company, so AI is not an external disruptor — but the company has no proven AI moat, no proprietary models, no defensible dataset, and no demonstrated technical advantage [2][3]. Neurovia AI's edge processing and data compression technology remains pre-commercial, and the $180M+ revenue comes from QC Capital's structured finance operations, not from AI products [1][2]. The strategy spans too many domains (edge computing, data compression, structured finance, intelligent industrial technology) for a company still establishing basic operations. Analyst coverage is essentially nonexistent, making external risk assessment impossible. EXPOSED: the company claims AI identity but has not proven it can build defensible AI capabilities. AI Opportunity (0/1): Despite positioning as an AI-first company, Robo.ai generates zero quantifiable AI revenue; QC Capital's $180M+ revenue derives from structured finance and delivery services, not AI products [1][2]. No AI product has shipped with measurable commercial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Robo.ai H1 2026 Earnings Summary — $55.1M Revenue, $46.7M Net Income (incl. $89.3M ICONIQ Disposal Gain), Going Concern, Quartr, 2026</w:t>
      </w:r>
    </w:p>
    <w:p>
      <w:pPr>
        <w:spacing w:before="20" w:after="20"/>
        <w:ind w:left="170"/>
      </w:pPr>
      <w:r>
        <w:rPr>
          <w:rFonts w:ascii="Calibri" w:hAnsi="Calibri"/>
          <w:b/>
          <w:color w:val="4A6B25"/>
          <w:sz w:val="15"/>
        </w:rPr>
        <w:t xml:space="preserve">2. </w:t>
      </w:r>
      <w:r>
        <w:rPr>
          <w:rFonts w:ascii="Calibri" w:hAnsi="Calibri"/>
          <w:b w:val="0"/>
          <w:color w:val="3A4A28"/>
          <w:sz w:val="17"/>
        </w:rPr>
        <w:t>Robo.ai Corporate Releases — QC Capital Acquisition, $180M+ June-August Revenue, $600M FY2026 Target, Revenue Disclaimer — PR Newswire, Webull, TechNode Global, September-October 2026</w:t>
      </w:r>
    </w:p>
    <w:p>
      <w:pPr>
        <w:spacing w:before="20" w:after="20"/>
        <w:ind w:left="170"/>
      </w:pPr>
      <w:r>
        <w:rPr>
          <w:rFonts w:ascii="Calibri" w:hAnsi="Calibri"/>
          <w:b/>
          <w:color w:val="4A6B25"/>
          <w:sz w:val="15"/>
        </w:rPr>
        <w:t xml:space="preserve">3. </w:t>
      </w:r>
      <w:r>
        <w:rPr>
          <w:rFonts w:ascii="Calibri" w:hAnsi="Calibri"/>
          <w:b w:val="0"/>
          <w:color w:val="3A4A28"/>
          <w:sz w:val="17"/>
        </w:rPr>
        <w:t>Robo.ai Leadership — Neurovia AI Appointments (CEO, CTO, CGO, CMO), Former INTERPOL President Ahmed Naser Al-Raisi as Chairman, Board Changes — ChartMill, AllMind.ai, July-August 2026</w:t>
      </w:r>
    </w:p>
    <w:p>
      <w:pPr>
        <w:spacing w:before="20" w:after="20"/>
        <w:ind w:left="170"/>
      </w:pPr>
      <w:r>
        <w:rPr>
          <w:rFonts w:ascii="Calibri" w:hAnsi="Calibri"/>
          <w:b/>
          <w:color w:val="4A6B25"/>
          <w:sz w:val="15"/>
        </w:rPr>
        <w:t xml:space="preserve">4. </w:t>
      </w:r>
      <w:r>
        <w:rPr>
          <w:rFonts w:ascii="Calibri" w:hAnsi="Calibri"/>
          <w:b w:val="0"/>
          <w:color w:val="3A4A28"/>
          <w:sz w:val="17"/>
        </w:rPr>
        <w:t>Robo.ai Financing — $300M Burkhan Capital Convertible Note, Yorkville $100M Facility, Class B Dilution, Director Resignation — TipRanks, iTiger, SEC 6-K Filings,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AIIO Statistics: Stock Price $0.86, Market Cap ~$102M, Avg Volume ~1.21M,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