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AIV</w:t>
      </w:r>
      <w:r>
        <w:rPr>
          <w:rFonts w:ascii="Calibri" w:hAnsi="Calibri"/>
          <w:b/>
          <w:color w:val="1A2010"/>
          <w:sz w:val="40"/>
        </w:rPr>
        <w:t xml:space="preserve">  Apartment Investment and Management Co.</w:t>
      </w:r>
    </w:p>
    <w:p>
      <w:pPr>
        <w:spacing w:after="120"/>
      </w:pPr>
      <w:r>
        <w:rPr>
          <w:rFonts w:ascii="Calibri" w:hAnsi="Calibri"/>
          <w:b/>
          <w:color w:val="6E8450"/>
          <w:sz w:val="18"/>
        </w:rPr>
        <w:t>GROWTH SLEEVE · 2026-09-02 · Inspire: 54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Residential Development · NYSE · United States</w:t>
      </w:r>
    </w:p>
    <w:p>
      <w:pPr>
        <w:spacing w:after="80"/>
      </w:pPr>
      <w:r>
        <w:rPr>
          <w:rFonts w:ascii="Calibri" w:hAnsi="Calibri"/>
          <w:b w:val="0"/>
          <w:color w:val="3A4A28"/>
          <w:sz w:val="20"/>
        </w:rPr>
        <w:t>Apartment Investment and Management Company (Aimco) is a diversified real estate company that was primarily focused on value-add and opportunistic multifamily investments in the U.S. The company operated a development-focused REIT with significant exposure to the Miami and Chicago markets. In February 2026, stockholders approved a Plan of Sale and Liquidation, and the company is now actively selling all remaining assets, winding down operations, and distributing proceeds to shareholders. Total liquidating distributions are estimated at $5.75-$7.10 per share, with $2.75/share already distributed ($1.45 in March 2026 and $1.30 in June 2026) [1][2]. The company entered agreements with four buyers to sell 12 properties at ~$680M with ~$30M in non-refundable deposits [1].</w:t>
      </w:r>
    </w:p>
    <w:p>
      <w:r>
        <w:rPr>
          <w:rFonts w:ascii="Calibri" w:hAnsi="Calibri"/>
          <w:b/>
          <w:color w:val="6E8450"/>
          <w:sz w:val="18"/>
        </w:rPr>
        <w:t>200 Employees · https://www.aimco.com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Before the liquidation decision, Aimco developed a $1.3B pipeline of multifamily projects concentrated in high-growth markets including Miami (6,000+ units) and Fort Lauderdale, demonstrating competent real estate development execution [1]. However, the company ultimately failed to create sustainable value from these developments — the decision to liquidate rather than continue operating indicates the strategy did not produce adequate returns. AI Deployment (0/2): No AI deployment or digital innovation evident; standard property management technology only. Market Share (0/2): Aimco operated a small portfolio relative to major multifamily REITs (AvalonBay, Equity Residential, UDR) with no market leadership position. Product Pipeline (0/2): The company is liquidating — there is no product pipeline. All development projects are being sold or completed for disposition [1]. R&amp;D Intensity (0/1): Not applicable for a REIT in wind-down.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Aimco's stated mission was to 'make real estate investments where outcomes are enhanced through human capital so that substantial value is created for investors, teammates, and the communities in which they operate' [1]. This is clear and identifies stakeholders beyond shareholders, but it is not distinctive — any REIT could make this claim. The decision to liquidate reveals it was aspirational rather than foundational. Community Impact (0/2): No evidence of distinctive charitable programs, foundation activity, or community investment beyond standard real estate development. The EPA lead paint settlement affecting 130,000+ apartments in 47 states represents a historical liability rather than positive community impact [4]. Employee Retention (0/2): The company is actively winding down operations and reducing headcount. The workforce of approximately 200 remaining employees manages the liquidation process [1]. Insider Buying (0/2): No insider buying data identified; the liquidation context makes insider buying irrelevant.</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growth-stock metrics (liquidating company, no established dividend). D/E of 238.61% scores 0.267 (elevated leverage from development debt) [5]. ROE of 7.38% scores 0.492 (2x weight). Revenue growth YoY of -34% (asset sales reducing operating revenue) scores 0.0. Revenue growth 5yr CAGR scores 1.0 (2x weight) — revenue grew from ~$33M (2021 post-split) to ~$139M TTM as development projects completed, though this is now reversing with asset sales. Forward P/E and PEG excluded (company liquidating, earnings meaningless). Profit margin deeply negative scores 0.0. Weighted sum 3.25 / max 7 x 10 = 4.6, rounds to 5. Liquidity: $2.51 x 1.84M avg volume = $4.62M, passes $1M threshold [5]. Note: Infrastructure score is artificially elevated by the 5yr CAGR of a post-spin entity ramping revenue; the company is dissolving and this metric is misleading.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Aimco's decision to liquidate is the definitional finite game outcome — the company is choosing to stop playing entirely. Sinek's framework evaluates whether companies are built to endure, and Aimco has explicitly chosen not to endure. While the liquidation decision may serve shareholders' financial interests (estimated $5.75-$7.10/share in total distributions vs $2.51 market price), it represents the ultimate acknowledgment that the company failed to create a self-sustaining enterprise [1].</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A company that votes to dissolve itself has, by definition, no Just Cause compelling enough to sustain its existence [1]. Aimco's purpose of 'enhancing outcomes through human capital' was not sufficiently powerful to prevent the board from recommending liquidation. The overwhelming shareholder vote in favor of dissolution indicates no constituency believed the company's purpose justified continued operation. This is the clearest possible signal of finite game thinking.</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company is in active wind-down, with remaining employees managing asset sales and corporate dissolution [1]. The workforce has been reduced to approximately 200 people managing the liquidation process. Trust is difficult to maintain when every employee knows their role will be eliminated. No evidence of cultural practices or employee empowerment programs during the wind-down.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In a liquidation context, competitive dynamics are irrelevant. Aimco is not competing against peer REITs — it is selling its assets and dissolving. No evidence of management discussing competitive learning or using rivals' strengths for self-improvement during the wind-down process.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Liquidation is not existential flexibility — it is existential surrender. True flexibility would have been pivoting the business model to find a viable path forward. Aimco chose dissolution over adaptation [1]. The company failed to demonstrate the flexibility to reinvent itself when the development-focused REIT model underperformed.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decision to recommend liquidation when the stock was trading well below estimated NAV showed some conviction — the board acknowledged that continued operation was destroying value and chose the harder path of orderly dissolution over continued underperformance [1]. The execution has been competent, with $1.26B in strategic asset sales in 2025, $435M in debt retirement, and $2.75/share already distributed [1][2]. This is honest leadership that prioritized shareholder outcomes over management's interest in perpetuating their roles.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AIV offers a liquidation arbitrage opportunity: the stock trades at $2.51 against estimated total liquidating distributions of $5.75-$7.10 per share, representing potential upside of 119-183% to full realization after accounting for $2.75/share already distributed [1][2]. Execution is progressing — $1.26B in strategic asset sales were completed in 2025, $435M in debt was retired, and two liquidating distributions totaling $2.75/share have been paid (March and June 2026) [1][2]. Agreements for 12 properties at ~$680M with ~$30M in non-refundable deposits provide near-term visibility. The remaining portfolio includes Miami and Fort Lauderdale properties in strong multifamily markets with institutional demand. If management executes competently, remaining distributions could significantly exceed the current stock price.</w:t>
      </w:r>
    </w:p>
    <w:p>
      <w:pPr>
        <w:spacing w:after="120"/>
      </w:pPr>
      <w:r>
        <w:rPr>
          <w:rFonts w:ascii="Calibri" w:hAnsi="Calibri"/>
          <w:b w:val="0"/>
          <w:color w:val="3A4A28"/>
          <w:sz w:val="20"/>
        </w:rPr>
        <w:t>The liquidation timeline and realization risk are the primary concerns. The plan targets completion within 24 months of adoption (by February 2028), but real estate dispositions are subject to market conditions, interest rates, and buyer demand [1]. D/E of 238.61% means the company must sell assets at adequate prices to repay development debt before shareholders receive distributions — if property values decline or credit markets tighten, shareholder recoveries could fall below the $5.75 low-end estimate [5]. Revenue declined 34% YoY as assets are sold, and will continue declining as remaining properties are disposed. Transaction and dissolution costs (legal, advisory, severance) consume a portion of proceeds. The EPA lead paint settlement affecting 130,000+ apartments in 47 states represents an environmental liability overhang [4]. The stock has declined 68% over 12 months from $8.03 to $2.51, and further price erosion is possible if the remaining asset sales encounter delays or below-expectation pricing. The remaining estimated distribution of $3.00-$4.35/share (after $2.75 paid) is attractive but carries meaningful execution and timing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Completion of remaining Miami and Fort Lauderdale property sales at or above appraised values, with 12 properties under agreement at ~$680M with $30M in non-refundable deposits providing near-term visibility [1]</w:t>
      </w:r>
    </w:p>
    <w:p>
      <w:pPr>
        <w:spacing w:before="40" w:after="40"/>
        <w:ind w:left="283"/>
      </w:pPr>
      <w:r>
        <w:rPr>
          <w:rFonts w:ascii="Calibri" w:hAnsi="Calibri"/>
          <w:b/>
          <w:color w:val="4A6B25"/>
          <w:sz w:val="20"/>
        </w:rPr>
        <w:t xml:space="preserve">2. </w:t>
      </w:r>
      <w:r>
        <w:rPr>
          <w:rFonts w:ascii="Calibri" w:hAnsi="Calibri"/>
          <w:b w:val="0"/>
          <w:color w:val="3A4A28"/>
          <w:sz w:val="20"/>
        </w:rPr>
        <w:t>Additional liquidating distributions beyond the $2.75/share already paid, with potential for total distributions near the $7.10/share high-end estimate if property sales exceed expectations [1][2]</w:t>
      </w:r>
    </w:p>
    <w:p>
      <w:pPr>
        <w:spacing w:before="40" w:after="40"/>
        <w:ind w:left="283"/>
      </w:pPr>
      <w:r>
        <w:rPr>
          <w:rFonts w:ascii="Calibri" w:hAnsi="Calibri"/>
          <w:b/>
          <w:color w:val="4A6B25"/>
          <w:sz w:val="20"/>
        </w:rPr>
        <w:t xml:space="preserve">3. </w:t>
      </w:r>
      <w:r>
        <w:rPr>
          <w:rFonts w:ascii="Calibri" w:hAnsi="Calibri"/>
          <w:b w:val="0"/>
          <w:color w:val="3A4A28"/>
          <w:sz w:val="20"/>
        </w:rPr>
        <w:t>Orderly dissolution within the 24-month target (by February 2028), with management demonstrating competent execution through $1.26B in 2025 asset sales and $435M debt retirement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Liquidation realization risk — property values depend on interest rates, credit markets, and multifamily sector demand; a downturn could push total distributions below the $5.75/share low-end estimate [1]</w:t>
      </w:r>
    </w:p>
    <w:p>
      <w:pPr>
        <w:spacing w:before="40" w:after="40"/>
        <w:ind w:left="283"/>
      </w:pPr>
      <w:r>
        <w:rPr>
          <w:rFonts w:ascii="Calibri" w:hAnsi="Calibri"/>
          <w:b/>
          <w:color w:val="4A6B25"/>
          <w:sz w:val="20"/>
        </w:rPr>
        <w:t xml:space="preserve">2. </w:t>
      </w:r>
      <w:r>
        <w:rPr>
          <w:rFonts w:ascii="Calibri" w:hAnsi="Calibri"/>
          <w:b w:val="0"/>
          <w:color w:val="3A4A28"/>
          <w:sz w:val="20"/>
        </w:rPr>
        <w:t>D/E of 238.61% means development debt must be repaid from asset sale proceeds before shareholders receive distributions, creating a leverage trap if property values decline [5]</w:t>
      </w:r>
    </w:p>
    <w:p>
      <w:pPr>
        <w:spacing w:before="40" w:after="40"/>
        <w:ind w:left="283"/>
      </w:pPr>
      <w:r>
        <w:rPr>
          <w:rFonts w:ascii="Calibri" w:hAnsi="Calibri"/>
          <w:b/>
          <w:color w:val="4A6B25"/>
          <w:sz w:val="20"/>
        </w:rPr>
        <w:t xml:space="preserve">3. </w:t>
      </w:r>
      <w:r>
        <w:rPr>
          <w:rFonts w:ascii="Calibri" w:hAnsi="Calibri"/>
          <w:b w:val="0"/>
          <w:color w:val="3A4A28"/>
          <w:sz w:val="20"/>
        </w:rPr>
        <w:t>EPA lead paint settlement liability affecting 130,000+ apartments in 47 states and wind-down costs (legal, advisory, severance) consume proceeds, reducing the net amount available for shareholder distributions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Apartment buildings are physical assets that AI structurally cannot displace [5]. People need housing, and multifamily real estate involves land acquisition, construction, property management, and tenant relationships — all deeply physical-world activities that AI cannot substitute. AI may improve property management efficiency (predictive maintenance, dynamic pricing, tenant screening), but it increases demand for well-managed apartments rather than threatening the business model. The apartment market is driven by demographic, economic, and zoning factors entirely outside AI's disruption scope. AI Opportunity (0/1): No AI-specific revenue or products. Aimco used standard property management technology with no evidence of AI-powered tools generating measurable revenue or savings.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Aimco Plan of Sale and Liquidation — Stockholder approval Feb 6, 2026, estimated distributions $5.75-$7.10/share, $1.26B in 2025 asset sales, $680M in properties under agreement, SEC Filing</w:t>
      </w:r>
    </w:p>
    <w:p>
      <w:pPr>
        <w:spacing w:before="20" w:after="20"/>
        <w:ind w:left="170"/>
      </w:pPr>
      <w:r>
        <w:rPr>
          <w:rFonts w:ascii="Calibri" w:hAnsi="Calibri"/>
          <w:b/>
          <w:color w:val="4A6B25"/>
          <w:sz w:val="15"/>
        </w:rPr>
        <w:t xml:space="preserve">2. </w:t>
      </w:r>
      <w:r>
        <w:rPr>
          <w:rFonts w:ascii="Calibri" w:hAnsi="Calibri"/>
          <w:b w:val="0"/>
          <w:color w:val="3A4A28"/>
          <w:sz w:val="17"/>
        </w:rPr>
        <w:t>Aimco Liquidating Distributions — $1.45/share paid March 2026 (Brickell Assemblage proceeds), $1.30/share paid June 2026, PRNewswire May 2026</w:t>
      </w:r>
    </w:p>
    <w:p>
      <w:pPr>
        <w:spacing w:before="20" w:after="20"/>
        <w:ind w:left="170"/>
      </w:pPr>
      <w:r>
        <w:rPr>
          <w:rFonts w:ascii="Calibri" w:hAnsi="Calibri"/>
          <w:b/>
          <w:color w:val="4A6B25"/>
          <w:sz w:val="15"/>
        </w:rPr>
        <w:t xml:space="preserve">3. </w:t>
      </w:r>
      <w:r>
        <w:rPr>
          <w:rFonts w:ascii="Calibri" w:hAnsi="Calibri"/>
          <w:b w:val="0"/>
          <w:color w:val="3A4A28"/>
          <w:sz w:val="17"/>
        </w:rPr>
        <w:t>Aimco Q4 2025 Results and Liquidation Update — $435M debt retired, 24-month dissolution timeline, PRNewswire February 2026</w:t>
      </w:r>
    </w:p>
    <w:p>
      <w:pPr>
        <w:spacing w:before="20" w:after="20"/>
        <w:ind w:left="170"/>
      </w:pPr>
      <w:r>
        <w:rPr>
          <w:rFonts w:ascii="Calibri" w:hAnsi="Calibri"/>
          <w:b/>
          <w:color w:val="4A6B25"/>
          <w:sz w:val="15"/>
        </w:rPr>
        <w:t xml:space="preserve">4. </w:t>
      </w:r>
      <w:r>
        <w:rPr>
          <w:rFonts w:ascii="Calibri" w:hAnsi="Calibri"/>
          <w:b w:val="0"/>
          <w:color w:val="3A4A28"/>
          <w:sz w:val="17"/>
        </w:rPr>
        <w:t>EPA Civil Settlement — Apartment Investment and Management Company lead paint disclosure, 130,000+ apartments in 47 states, U.S. EPA</w:t>
      </w:r>
    </w:p>
    <w:p>
      <w:pPr>
        <w:spacing w:before="20" w:after="20"/>
        <w:ind w:left="170"/>
      </w:pPr>
      <w:r>
        <w:rPr>
          <w:rFonts w:ascii="Calibri" w:hAnsi="Calibri"/>
          <w:b/>
          <w:color w:val="4A6B25"/>
          <w:sz w:val="15"/>
        </w:rPr>
        <w:t xml:space="preserve">5. </w:t>
      </w:r>
      <w:r>
        <w:rPr>
          <w:rFonts w:ascii="Calibri" w:hAnsi="Calibri"/>
          <w:b w:val="0"/>
          <w:color w:val="3A4A28"/>
          <w:sz w:val="17"/>
        </w:rPr>
        <w:t>StockAnalysis, Yahoo Finance — AIV Key Statistics: Stock Price $2.51, Market Cap $372M, 145M shares outstanding, Avg Volume 1.84M,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