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ALC</w:t>
      </w:r>
      <w:r>
        <w:rPr>
          <w:rFonts w:ascii="Calibri" w:hAnsi="Calibri"/>
          <w:b/>
          <w:color w:val="1A2010"/>
          <w:sz w:val="40"/>
        </w:rPr>
        <w:t xml:space="preserve">  Alcon Inc.</w:t>
      </w:r>
    </w:p>
    <w:p>
      <w:pPr>
        <w:spacing w:after="120"/>
      </w:pPr>
      <w:r>
        <w:rPr>
          <w:rFonts w:ascii="Calibri" w:hAnsi="Calibri"/>
          <w:b/>
          <w:color w:val="6E8450"/>
          <w:sz w:val="18"/>
        </w:rPr>
        <w:t>GROWTH SLEEVE · 2026-09-16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NYSE · Switzerland</w:t>
      </w:r>
    </w:p>
    <w:p>
      <w:pPr>
        <w:spacing w:after="80"/>
      </w:pPr>
      <w:r>
        <w:rPr>
          <w:rFonts w:ascii="Calibri" w:hAnsi="Calibri"/>
          <w:b w:val="0"/>
          <w:color w:val="3A4A28"/>
          <w:sz w:val="20"/>
        </w:rPr>
        <w:t>Alcon researches, develops, manufactures, and sells eye care products worldwide through two segments: Surgical (cataract, vitreoretinal, and refractive surgery equipment and consumables) and Vision Care (contact lenses, ocular health products). Founded in 1945, spun off from Novartis in 2019, and headquartered in Geneva, Switzerland. Q2 2026 delivered revenue of $2.78B (surgical $1.6B +8%, vision care $1.2B +8%), with adjusted EPS of $0.84 beating consensus. FY2026 guidance raised to 12-15% core EPS growth.</w:t>
      </w:r>
    </w:p>
    <w:p>
      <w:r>
        <w:rPr>
          <w:rFonts w:ascii="Calibri" w:hAnsi="Calibri"/>
          <w:b/>
          <w:color w:val="6E8450"/>
          <w:sz w:val="18"/>
        </w:rPr>
        <w:t>25,000 Employees · https://www.alcon.com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Alcon delivered Q2 2026 revenue of $2.78B with both surgical (+8%) and vision care (+8%) segments growing steadily, driven by new product launches including PanOptix Pro trifocal lens, Unity surgical platform, and Tryptyr dry eye treatment which captured 4 share points within 8 months of launch [1]. Q1 2026 showed 10% revenue growth and PC-IOL market share gains of ~2 points. However, GAAP profitability remains under pressure from tariff charges and manufacturing costs. AI Deployment (1/2): Alcon holds 16 AI-related patents and deploys AI-powered surgical guidance systems including the ARGOS biometer, SMARTCATARACT digital health platform, and NGENUITY 3D visualization system [2]. 'Alcon Intelligent Services' expands digital offerings, but specific AI revenue attribution is not separately disclosed. Market Share (2/2): Alcon is the global leader in ophthalmic surgical equipment and among the top players in contact lenses and ocular health across a $40B+ eye care market, with Q1-Q2 2026 demonstrating continued share gains in premium cataract IOLs and dry eye [1]. Product Pipeline (1/2): Tryptyr dry eye is in early commercialization ramp, an upgraded Vivity lens is planned for early 2027, and continued iterations of the Unity platform are expected, but longer-term pipeline visibility beyond current launches remains limited. R&amp;D Intensity (0/1): R&amp;D spending at approximately 7% of revenue is at industry average for medical devices, not top-quartile.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Alcon's mission to 'help people See Brilliantly' is specific, purposeful, and connects eye care products to human quality of life with a 75+ year heritage dating to 1945 [2][3]. The Brilliant Lives/Brilliant Innovation/Brilliant Planet sustainability framework demonstrates institutional intentionality. However, multiple CEO transitions since the 2019 Novartis spinoff prevent the mission from being validated through consistent independent leadership. Community Impact (1/2): Alcon became the first healthcare company to be GreenCircle certified for Zero Waste to Landfill operations, with 17 of 18 manufacturing sites ISO 14001:2015 certified [3]. The Alcon Foundation supports sight-related charitable programs globally, and zero FDA Class 1 recalls in five years demonstrates product safety commitment. However, specific charitable dollar amounts are not prominently disclosed. Employee Retention (1/2): The Alcon Executive Team is rated 'A' on Comparably, in the top 10% of similar-size companies [2]. The 25,000-person workforce across 60 countries is stable. However, Glassdoor reviews have historically cited leadership communication gaps and limited growth opportunities, and multiple CEO transitions create organizational uncertainty. Insider Buying (0/2): No evidence of meaningful net insider buying by executives. The $1.5B share repurchase program is an institutional action, not personal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24.54% is well below the 70% target, scoring a perfect 1.0 [4]. Forward P/E of 17.03x is below the 20x target, reflecting an attractive entry point after the stock's multi-year de-rating. PEG of 1.16 is above the 1.0 target but close, scoring 0.92 with 2x weight. Revenue growth YoY of 8.7% approaches but falls short of the 10% target (0.957), and 5-year revenue CAGR of ~8.3% scores 0.887 with 2x weight. The persistent drags are ROE of 2.94% (far below 15% target, scoring 0.196 with 2x weight), reflecting Alcon's heavy post-spin-off asset base and manufacturing cost structure, and GAAP profit margin of 5.92% (well below 20% target, scoring 0.296) [4]. Core operating margin of ~21% better reflects underlying business quality but GAAP is what the metric uses. FY2026 guidance of 12-15% core EPS growth and 90-190 bps margin expansion signal improvement ahead. Liquidity floor cleared at ~$130M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Alcon possesses a genuine 75-year purpose in eye care with market-leading positions, and the Brilliant Lives/Innovation/Planet framework shows institutional alignment. However, multiple CEO transitions since the 2019 Novartis spinoff undermine the leadership continuity that Sinek considers foundational to infinite game thinking. The company has not yet established a stable, consistent independent identity after only 7 years post-spinoff, and the CEO instability is the most significant infinite-game risk factor.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people See Brilliantly' connects eye care innovation to human quality of life with a 75+ year heritage — specific, service-oriented, and enduring [3]. The Brilliant Lives/Innovation/Planet sustainability framework shows institutional alignment, and the company's 2019 spin-off from Novartis was motivated by the belief that a focused eye care company could better serve the mission. However, multiple CEO transitions since independence prevent validation through consistent leadership, and the cause has not been tested through a major crisis as an independent 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Alcon maintains 25,000+ employees across 60 countries with the executive team rated 'A' on Comparably (top 10% of similar-size companies), and zero FDA Class 1 recalls in five years demonstrates operational discipline [2][3]. However, Glassdoor reviews have cited leadership communication gaps and favoritism, and multiple CEO transitions since 2019 create organizational uncertainty that undermines trust at the leadership level. The rapid leadership turnover prevents any one leader from establishing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Alcon competes with Johnson &amp; Johnson Vision, Bausch + Lomb, CooperVision, and Carl Zeiss, and management frames competition in terms of product innovation, clinical outcomes, and share point gains rather than market share warfare [1]. The company's response to competitive pressure is product launch acceleration (PanOptix Pro, Tryptyr, Unity) and clinical differentiation rather than predatory pricing or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Alcon has been a focused eye care company since 1945 and has not undergone a transformative pivot — it has incrementally expanded within its domain from pharmaceuticals to surgical devices to contact lenses to dry eye treatments [1]. The 2019 Novartis spin-off was an externally imposed restructuring, not a strategically chosen reinvention. As a single-domain medical device company, existential flexibility has not been meaningfully tested.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Alcon maintained investment in new product launches (Tryptyr, upgraded Vivity for early 2027) and raised FY2026 core EPS guidance to 12-15% growth despite tariff headwinds ($33M in Q1) and Middle East shipping disruptions [1]. The $1.5B three-year share repurchase program signals capital allocation conviction. Q2 2026 adjusted EPS of $0.84 beat consensus of $0.76, demonstrating execution under pressure. However, the CEO instability suggests the board is searching for the right leadership rather than backing a single courageous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Alcon is the global leader in eye care with Q2 2026 revenue of $2.78B growing 8% in both surgical and vision care segments, beating consensus estimates and prompting a guidance raise to 12-15% core EPS growth for FY2026 (from 10-13%) with 90-190 bps of core operating margin expansion [1]. At $67.76 and 17.03x forward P/E, the stock has de-rated significantly from historical premiums, creating an attractive entry point for a healthcare franchise with high barriers to entry (16 AI patents, regulated medical devices) and secular demographic tailwinds from 30M+ annual cataract procedures growing with aging populations [2]. New product momentum is strong — Tryptyr dry eye treatment gained 4 share points in 8 months, PanOptix Pro is driving premium IOL adoption, and the upgraded Vivity lens launches early 2027. FCF generation of $1.27B demonstrates strong underlying cash conversion despite GAAP profit weakness [4]. PEG of 1.16 is reasonable for a medical device compounder.</w:t>
      </w:r>
    </w:p>
    <w:p>
      <w:pPr>
        <w:spacing w:after="120"/>
      </w:pPr>
      <w:r>
        <w:rPr>
          <w:rFonts w:ascii="Calibri" w:hAnsi="Calibri"/>
          <w:b w:val="0"/>
          <w:color w:val="3A4A28"/>
          <w:sz w:val="20"/>
        </w:rPr>
        <w:t>The bear case centers on persistent GAAP profitability weakness, leadership instability, and structural margin constraints. Trailing ROE of 2.94% and GAAP profit margin of 5.92% remain well below medical device peers, reflecting Alcon's heavy manufacturing cost structure, post-spin-off investment requirements, and recurring tariff/FX headwinds [4]. Trailing P/E of 51.73x against a 5.92% margin implies investors are paying for a profitability improvement that has been slow to materialize after 7 years of independence. Multiple CEO transitions since the 2019 Novartis spinoff raise persistent questions about strategic continuity and organizational stability — the board has yet to find a leader who can durably grow GAAP earnings in line with core earnings. Revenue growth of 8.7% is solid but below the 10%+ threshold that would justify a premium growth multiple. Swiss franc-denominated cost base creates persistent currency headwinds against global revenues. The Inspire Impact Score of -49 (MISALIGNED) limits allocation for faith-based investors [3]. Global cataract procedure volume growth in the low single digits suggests the secular growth narrative may be decelerating.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raised to 12-15% core EPS growth with 90-190 bps margin expansion, signaling profitability inflection as new product mix shifts toward higher-margin premium IOLs and surgical consumables [1]</w:t>
      </w:r>
    </w:p>
    <w:p>
      <w:pPr>
        <w:spacing w:before="40" w:after="40"/>
        <w:ind w:left="283"/>
      </w:pPr>
      <w:r>
        <w:rPr>
          <w:rFonts w:ascii="Calibri" w:hAnsi="Calibri"/>
          <w:b/>
          <w:color w:val="4A6B25"/>
          <w:sz w:val="20"/>
        </w:rPr>
        <w:t xml:space="preserve">2. </w:t>
      </w:r>
      <w:r>
        <w:rPr>
          <w:rFonts w:ascii="Calibri" w:hAnsi="Calibri"/>
          <w:b w:val="0"/>
          <w:color w:val="3A4A28"/>
          <w:sz w:val="20"/>
        </w:rPr>
        <w:t>Tryptyr dry eye treatment captured 4 share points within 8 months of launch, with significant room for continued penetration in the large and growing dry eye market [1]</w:t>
      </w:r>
    </w:p>
    <w:p>
      <w:pPr>
        <w:spacing w:before="40" w:after="40"/>
        <w:ind w:left="283"/>
      </w:pPr>
      <w:r>
        <w:rPr>
          <w:rFonts w:ascii="Calibri" w:hAnsi="Calibri"/>
          <w:b/>
          <w:color w:val="4A6B25"/>
          <w:sz w:val="20"/>
        </w:rPr>
        <w:t xml:space="preserve">3. </w:t>
      </w:r>
      <w:r>
        <w:rPr>
          <w:rFonts w:ascii="Calibri" w:hAnsi="Calibri"/>
          <w:b w:val="0"/>
          <w:color w:val="3A4A28"/>
          <w:sz w:val="20"/>
        </w:rPr>
        <w:t>Upgraded Vivity extended depth of focus lens launching early 2027, providing continued product cycle momentum in the premium cataract IOL category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ROE of 2.94% and profit margin of 5.92% remain structurally low for a medical device leader, with trailing PE of 51.73x creating downside risk if GAAP profitability improvement continues to lag core earnings growth [4]</w:t>
      </w:r>
    </w:p>
    <w:p>
      <w:pPr>
        <w:spacing w:before="40" w:after="40"/>
        <w:ind w:left="283"/>
      </w:pPr>
      <w:r>
        <w:rPr>
          <w:rFonts w:ascii="Calibri" w:hAnsi="Calibri"/>
          <w:b/>
          <w:color w:val="4A6B25"/>
          <w:sz w:val="20"/>
        </w:rPr>
        <w:t xml:space="preserve">2. </w:t>
      </w:r>
      <w:r>
        <w:rPr>
          <w:rFonts w:ascii="Calibri" w:hAnsi="Calibri"/>
          <w:b w:val="0"/>
          <w:color w:val="3A4A28"/>
          <w:sz w:val="20"/>
        </w:rPr>
        <w:t>Multiple CEO transitions since the 2019 Novartis spinoff — most recently Kevin Buehler in March 2026 — raise persistent strategic continuity concerns and suggest the board has not yet found stable independent leadership [2]</w:t>
      </w:r>
    </w:p>
    <w:p>
      <w:pPr>
        <w:spacing w:before="40" w:after="40"/>
        <w:ind w:left="283"/>
      </w:pPr>
      <w:r>
        <w:rPr>
          <w:rFonts w:ascii="Calibri" w:hAnsi="Calibri"/>
          <w:b/>
          <w:color w:val="4A6B25"/>
          <w:sz w:val="20"/>
        </w:rPr>
        <w:t xml:space="preserve">3. </w:t>
      </w:r>
      <w:r>
        <w:rPr>
          <w:rFonts w:ascii="Calibri" w:hAnsi="Calibri"/>
          <w:b w:val="0"/>
          <w:color w:val="3A4A28"/>
          <w:sz w:val="20"/>
        </w:rPr>
        <w:t>Tariff exposure ($33M in Q1 charges), Swiss franc cost base, and Middle East shipping disruptions demonstrate vulnerability to geopolitical and trade policy factors beyond management control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Alcon's core business — manufacturing ophthalmic surgical equipment, intraocular lenses, contact lenses, and surgical consumables — is structurally immune to AI substitution [1]. AI cannot replace cataract surgery, physical contact lens manufacturing, or the supply chain for surgical consumables. Regulated medical device clearances (FDA/CE) create additional barriers. AI actually enhances Alcon's value proposition through surgical guidance and diagnostics (ARGOS biometer, SMARTCATARACT, NGENUITY 3D visualization), increasing demand for its premium platforms rather than threatening them [2]. Global cataract procedure volumes of 30M+ annually represent a physical demand base that grows with aging populations regardless of AI disruption in other sectors. AI Opportunity (1/1): Alcon generates revenue from AI-integrated surgical platforms — ARGOS biometer, SMARTCATARACT digital health platform, and NGENUITY 3D visualization are AI-enabled products shipping to surgeon customers worldwide, with 16 AI patents [2]. These drive premium pricing and surgical platform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Alcon Q2 2026 Earnings — Revenue $2.78B, surgical $1.6B (+8%), vision care $1.2B (+8%), adjusted EPS $0.84 (beat $0.76), raised FY2026 EPS guidance to 12-15% growth — Yahoo Finance, Medical Device Network, August 2026</w:t>
      </w:r>
    </w:p>
    <w:p>
      <w:pPr>
        <w:spacing w:before="20" w:after="20"/>
        <w:ind w:left="170"/>
      </w:pPr>
      <w:r>
        <w:rPr>
          <w:rFonts w:ascii="Calibri" w:hAnsi="Calibri"/>
          <w:b/>
          <w:color w:val="4A6B25"/>
          <w:sz w:val="15"/>
        </w:rPr>
        <w:t xml:space="preserve">2. </w:t>
      </w:r>
      <w:r>
        <w:rPr>
          <w:rFonts w:ascii="Calibri" w:hAnsi="Calibri"/>
          <w:b w:val="0"/>
          <w:color w:val="3A4A28"/>
          <w:sz w:val="17"/>
        </w:rPr>
        <w:t>Alcon Leadership, AI Innovation, Culture — 16 AI patents, ARGOS/SMARTCATARACT/NGENUITY platforms, executive team rated 'A' on Comparably, CEO transitions, 25,000 employees — Craft.co, Comparably, Fortune, 2026</w:t>
      </w:r>
    </w:p>
    <w:p>
      <w:pPr>
        <w:spacing w:before="20" w:after="20"/>
        <w:ind w:left="170"/>
      </w:pPr>
      <w:r>
        <w:rPr>
          <w:rFonts w:ascii="Calibri" w:hAnsi="Calibri"/>
          <w:b/>
          <w:color w:val="4A6B25"/>
          <w:sz w:val="15"/>
        </w:rPr>
        <w:t xml:space="preserve">3. </w:t>
      </w:r>
      <w:r>
        <w:rPr>
          <w:rFonts w:ascii="Calibri" w:hAnsi="Calibri"/>
          <w:b w:val="0"/>
          <w:color w:val="3A4A28"/>
          <w:sz w:val="17"/>
        </w:rPr>
        <w:t>Alcon ESG and Community — 'See Brilliantly' mission, GreenCircle Zero Waste certification, 17/18 sites ISO 14001, Alcon Foundation, zero Class 1 recalls in 5 years — Alcon.com,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ALC Key Statistics: PE 51.73x, Forward PE 17.03x, PEG 1.16, ROE 2.94%, D/E 24.54%, Profit Margin 5.92%, Price $67.76,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