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ALKT</w:t>
      </w:r>
      <w:r>
        <w:rPr>
          <w:rFonts w:ascii="Calibri" w:hAnsi="Calibri"/>
          <w:b/>
          <w:color w:val="1A2010"/>
          <w:sz w:val="40"/>
        </w:rPr>
        <w:t xml:space="preserve">  Alkami Technology, Inc.</w:t>
      </w:r>
    </w:p>
    <w:p>
      <w:pPr>
        <w:spacing w:after="120"/>
      </w:pPr>
      <w:r>
        <w:rPr>
          <w:rFonts w:ascii="Calibri" w:hAnsi="Calibri"/>
          <w:b/>
          <w:color w:val="6E8450"/>
          <w:sz w:val="18"/>
        </w:rPr>
        <w:t>GROWTH SLEEVE · 2026-09-12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(Digital Banking) · NASDAQ · United States</w:t>
      </w:r>
    </w:p>
    <w:p>
      <w:pPr>
        <w:spacing w:after="80"/>
      </w:pPr>
      <w:r>
        <w:rPr>
          <w:rFonts w:ascii="Calibri" w:hAnsi="Calibri"/>
          <w:b w:val="0"/>
          <w:color w:val="3A4A28"/>
          <w:sz w:val="20"/>
        </w:rPr>
        <w:t>Alkami Technology provides a cloud-based, multi-tenant digital banking platform that enables community banks, credit unions, and regional financial institutions to compete with large national banks on user onboarding, engagement, and revenue generation. Founded in 2009 and headquartered in Plano, Texas, Alkami reported Q2 2026 revenue of $129.8M (+15.9% YoY) with annual recurring revenue of $511.7M (+21% YoY) and 50 clients at or above $2M in ARR. Management raised full-year 2026 guidance to $528-531M revenue with $96-98M adjusted EBITDA.</w:t>
      </w:r>
    </w:p>
    <w:p>
      <w:r>
        <w:rPr>
          <w:rFonts w:ascii="Calibri" w:hAnsi="Calibri"/>
          <w:b/>
          <w:color w:val="6E8450"/>
          <w:sz w:val="18"/>
        </w:rPr>
        <w:t>1,225 Employees · https://www.alkami.com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Alkami expanded from a retail-only digital banking provider into a comprehensive platform encompassing business banking, AI-driven analytics, and fraud prevention, with ARR growing from under $100M to $511.7M and client count reaching 50 at $2M+ ARR, up from 18 at the end of 2021 [1]. The MANTL acquisition in 2024 added digital account-opening capability, a meaningful but incremental expansion. AI Deployment (1/2): Alkami's Engagement AI predictive model, launched in 2025, enables financial institutions to identify at-risk account holders and optimize retention spending — a shipping product with measurable client impact, though AI revenue is not separately quantified [2]. Market Share (1/2): Alkami added 37 new digital banking logos over the trailing 12 months including 15 banks, with average ARR per client reaching $1.6M, but competes with entrenched incumbents Q2 Holdings, NCR Voyix, and FIS without dominant category share [1]. Product Pipeline (1/2): The 2026 Business Banking Digital Maturity Model and expanding AI capabilities provide pipeline visibility, but specific next-generation products with named launch dates are not publicly disclosed. R&amp;D Intensity (1/1): As a pure-play SaaS platform company with 96% subscription revenue, Alkami invests heavily in product development relative to its revenue base, consistent with top-quartile R&amp;D intensity for application software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Alkami's purpose of empowering community financial institutions to compete with megabanks through digital banking technology is clear and identifies a specific beneficiary, but reads as a standard category mission rather than a transformative cause [2]. Community Impact (0/2): No evidence of charitable giving, foundation activity, or community investment programs was found. Employee Retention (0/2): Glassdoor reviews describe significant leadership instability — CEO, CRO, CHRO, and CMO all joined within the last two years — alongside reports of senior VP-level leadership lacking industry knowledge, micromanagement of daily activities, and a departed HR leadership team [2]. Insider Buying (0/2): No meaningful net insider buying by executives was identified in the trailing 12-month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Forward P/E and Forward PEG excluded as unavailable for this GAAP-unprofitable company [1]. D/E of 108% scores 0.84 against the 70%/300% target/floor — a modest debt load [3]. Revenue growth YoY of 19% (FY2026 guidance midpoint vs FY2025) and 5-year revenue CAGR of 31% both score 1.0, driven by rapid ARR expansion from $511.7M base [1]. ROE of -12.74% and profit margin of -10.63% both score 0.0, reflecting pre-GAAP-profitability status despite $19.4M adjusted EBITDA in Q2 2026 at 14.9% margin [1]. Liquidity clears the floor with ~$27.5M daily dollar volume ($21.00 x 1.31M avg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Alkami has a genuine purpose in democratizing digital banking for community financial institutions, and the MANTL acquisition shows willingness to invest in platform expansion, but the evidence base for infinite-game thinking is weak. Significant C-suite turnover, declining employee morale, and reports of politically-driven decision-making point to an organization playing a results-under-pressure game. No evidence of distinctive community investment or insider conviction rounds out a thin infinite-game profile for a company still finding its footing as a public entity.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Alkami's purpose — enabling community and regional financial institutions to compete with megabanks — is genuine and traceable to strategic decisions like the 2024 MANTL acquisition, which extended the platform into account origination specifically to help smaller institutions win new accounts [1]. However, the cause has not been tested through a multi-decade cycle or major crisis, and recent leadership churn raises questions about whether it is consistently lived out at the executive level.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organizational instability — four C-suite roles turned over within a short window, VP-level leadership is criticized for lacking strategic foresight and micromanaging daily activities, and reviewers report the departure of the entire HR leadership team alongside declining morale [2]. The CEO's enablement of remote work is a positive signal but insufficient to overcome the pattern of executive churn in a ~1,200-person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identified. Investor communications frame competition in finite terms — client wins, logo acquisition, and competitive displacements from Q2 Holdings, NCR Voyix, and FIS — rather than acknowledging competitors' strengths as motivation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MANTL acquisition represents incremental evolution — extending from core online/mobile banking into digital account opening — rather than a transformative reinvention of the business model [1]. At 17 years old and 5 years public, the company has not yet faced an existential strategic test.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has continued to invest in growth (MANTL integration, AI product development, expanded ARR) despite persistent GAAP losses and a widening net loss in earlier quarters, showing some willingness to prioritize long-term platform expansion over near-term profitability [1]. However, this is standard for growth-stage SaaS rather than an unusually courageous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Alkami exited Q2 2026 with $511.7M ARR growing 21% YoY and 96% subscription revenue mix, demonstrating high-quality recurring revenue in a mission-critical vertical — community banks and credit unions cannot function without a digital banking platform [1]. The expanding penetration ($1.6M average ARR per client, 50 clients at $2M+ up from 18 in 2021) and strong new logo acquisition (37 in LTM, including 15 banks) validate both land-and-expand execution and greenfield opportunity across the ~5,000 US community FIs still running legacy platforms. Adjusted EBITDA margins expanded to 14.9% in Q2, and management's raised guidance of $96-98M adjusted EBITDA for FY2026 shows a clear path to sustained profitability. At ~$2.2B market cap (~4.2x FY2026 revenue), valuation is reasonable for a 19% revenue grower approaching profitability.</w:t>
      </w:r>
    </w:p>
    <w:p>
      <w:pPr>
        <w:spacing w:after="120"/>
      </w:pPr>
      <w:r>
        <w:rPr>
          <w:rFonts w:ascii="Calibri" w:hAnsi="Calibri"/>
          <w:b w:val="0"/>
          <w:color w:val="3A4A28"/>
          <w:sz w:val="20"/>
        </w:rPr>
        <w:t>The bear case centers on persistent GAAP unprofitability, revenue deceleration, and cultural instability. ROE of -12.74% and profit margin of -10.63% mean the company is still burning cash on a GAAP basis despite adjusted EBITDA improvement, with elevated stock-based compensation inflating the gap between GAAP and adjusted results [1]. Revenue growth decelerated sharply from 29% in Q1 to 15.9% in Q2 2026, raising questions about whether the fastest phase of digital banking migration is maturing and whether the raised FY2026 guidance ($528-531M) embeds sufficient conservatism [1]. Cultural concerns — significant C-suite turnover, HR leadership departure, and mixed Glassdoor sentiment including micromanagement and morale complaints — suggest organizational growing pains that could impair execution during a critical scaling phase [2]. The Inspire Impact Score of 39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ARR expansion toward $600M+ as the 50 clients at $2M+ ARR demonstrates platform stickiness and ARPU growth through cross-selling AI analytics, fraud prevention, and business banking modules to the existing client base [1]</w:t>
      </w:r>
    </w:p>
    <w:p>
      <w:pPr>
        <w:spacing w:before="40" w:after="40"/>
        <w:ind w:left="283"/>
      </w:pPr>
      <w:r>
        <w:rPr>
          <w:rFonts w:ascii="Calibri" w:hAnsi="Calibri"/>
          <w:b/>
          <w:color w:val="4A6B25"/>
          <w:sz w:val="20"/>
        </w:rPr>
        <w:t xml:space="preserve">2. </w:t>
      </w:r>
      <w:r>
        <w:rPr>
          <w:rFonts w:ascii="Calibri" w:hAnsi="Calibri"/>
          <w:b w:val="0"/>
          <w:color w:val="3A4A28"/>
          <w:sz w:val="20"/>
        </w:rPr>
        <w:t>Path to GAAP profitability as adjusted EBITDA margins expand from 14.9% toward 20%+ with operating leverage on the 96% subscription revenue base, potentially triggering institutional investor interest and re-rating [1]</w:t>
      </w:r>
    </w:p>
    <w:p>
      <w:pPr>
        <w:spacing w:before="40" w:after="40"/>
        <w:ind w:left="283"/>
      </w:pPr>
      <w:r>
        <w:rPr>
          <w:rFonts w:ascii="Calibri" w:hAnsi="Calibri"/>
          <w:b/>
          <w:color w:val="4A6B25"/>
          <w:sz w:val="20"/>
        </w:rPr>
        <w:t xml:space="preserve">3. </w:t>
      </w:r>
      <w:r>
        <w:rPr>
          <w:rFonts w:ascii="Calibri" w:hAnsi="Calibri"/>
          <w:b w:val="0"/>
          <w:color w:val="3A4A28"/>
          <w:sz w:val="20"/>
        </w:rPr>
        <w:t>Strong second-half 2026 pipeline with 37 new logos in LTM and 15 bank wins expanding Alkami's historically credit-union-dominated customer base into the larger and higher-ARPU community bank segment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29% in Q1 to 15.9% in Q2 2026 may signal that the fastest phase of community FI digital migration is maturing, with remaining prospects harder to convert from entrenched legacy platforms [1]</w:t>
      </w:r>
    </w:p>
    <w:p>
      <w:pPr>
        <w:spacing w:before="40" w:after="40"/>
        <w:ind w:left="283"/>
      </w:pPr>
      <w:r>
        <w:rPr>
          <w:rFonts w:ascii="Calibri" w:hAnsi="Calibri"/>
          <w:b/>
          <w:color w:val="4A6B25"/>
          <w:sz w:val="20"/>
        </w:rPr>
        <w:t xml:space="preserve">2. </w:t>
      </w:r>
      <w:r>
        <w:rPr>
          <w:rFonts w:ascii="Calibri" w:hAnsi="Calibri"/>
          <w:b w:val="0"/>
          <w:color w:val="3A4A28"/>
          <w:sz w:val="20"/>
        </w:rPr>
        <w:t>Persistent GAAP losses and elevated stock-based compensation create dilution risk and may limit institutional demand until the company demonstrates sustained positive net income on a GAAP basis [1]</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evidenced by C-suite turnover (CEO, CRO, CHRO, CMO), HR leadership departure, and Glassdoor reports of micromanagement and declining morale could impair talent retention during a competitive fintech labor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Alkami's digital banking platform is deeply embedded in client financial institutions' core banking infrastructure, creating high switching costs buttressed by heavy banking regulation (KYC, AML, data privacy) that AI cannot circumvent [1]. Analysts at Seeking Alpha have specifically described Alkami's per-user SaaS model as 'insulated from AI disruption' given the deep integration required with core banking systems [2]. However, AI-native fintech challengers could potentially build competitive digital banking front-ends at lower cost over time, and generative AI tools are lowering the cost of building banking interfaces generally, creating long-term competitive pressure. AI Opportunity (1/1): Alkami's Engagement AI predictive model is shipping to financial institution clients with measurable value — enabling identification of at-risk account holders and optimization of retention spending — and fraud prevention AI is integrated into the platform pricing model, meeting the threshold of early-stage AI products generating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Alkami Technology Q2 2026 Earnings Release — Revenue $129.8M (+15.9% YoY), ARR $511.7M (+21%), Adjusted EBITDA $19.4M, Full-Year Guidance Raised to $528-531M Revenue, July 2026</w:t>
      </w:r>
    </w:p>
    <w:p>
      <w:pPr>
        <w:spacing w:before="20" w:after="20"/>
        <w:ind w:left="170"/>
      </w:pPr>
      <w:r>
        <w:rPr>
          <w:rFonts w:ascii="Calibri" w:hAnsi="Calibri"/>
          <w:b/>
          <w:color w:val="4A6B25"/>
          <w:sz w:val="15"/>
        </w:rPr>
        <w:t xml:space="preserve">2. </w:t>
      </w:r>
      <w:r>
        <w:rPr>
          <w:rFonts w:ascii="Calibri" w:hAnsi="Calibri"/>
          <w:b w:val="0"/>
          <w:color w:val="3A4A28"/>
          <w:sz w:val="17"/>
        </w:rPr>
        <w:t>Alkami Technology Company Research — Glassdoor Reviews (culture, leadership), Engagement AI Product Launch (Dallas Innovates), Seeking Alpha AI Disruption Analysis, CEO Leadership,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ALKT Key Statistics: Stock Price $21.00, D/E 108%, ROE -12.74%, Profit Margin -10.63%,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