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ALT</w:t>
      </w:r>
      <w:r>
        <w:rPr>
          <w:rFonts w:ascii="Calibri" w:hAnsi="Calibri"/>
          <w:b/>
          <w:color w:val="1A2010"/>
          <w:sz w:val="40"/>
        </w:rPr>
        <w:t xml:space="preserve">  Altimmune, Inc.</w:t>
      </w:r>
    </w:p>
    <w:p>
      <w:pPr>
        <w:spacing w:after="120"/>
      </w:pPr>
      <w:r>
        <w:rPr>
          <w:rFonts w:ascii="Calibri" w:hAnsi="Calibri"/>
          <w:b/>
          <w:color w:val="6E8450"/>
          <w:sz w:val="18"/>
        </w:rPr>
        <w:t>GROWTH SLEEVE · 2026-10-17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United States</w:t>
      </w:r>
    </w:p>
    <w:p>
      <w:pPr>
        <w:spacing w:after="80"/>
      </w:pPr>
      <w:r>
        <w:rPr>
          <w:rFonts w:ascii="Calibri" w:hAnsi="Calibri"/>
          <w:b w:val="0"/>
          <w:color w:val="3A4A28"/>
          <w:sz w:val="20"/>
        </w:rPr>
        <w:t>Altimmune is a clinical-stage biopharmaceutical company developing pemvidutide, a dual GLP-1/glucagon receptor agonist, for metabolic and liver diseases. Lead programs include PERFORMA Phase 3 in MASH (enrollment began August 2026), RECLAIM Phase 2 in AUD (positive topline July 2026), and RESTORE trial in ALD (enrollment complete, topline H2 2027). Pre-revenue with Q2 2026 net loss of $22.8M and $535M cash runway through 2029. Led by CEO Jerry Durso (effective January 2026) following planned succession from founder Vipin Garg.</w:t>
      </w:r>
    </w:p>
    <w:p>
      <w:r>
        <w:rPr>
          <w:rFonts w:ascii="Calibri" w:hAnsi="Calibri"/>
          <w:b/>
          <w:color w:val="6E8450"/>
          <w:sz w:val="18"/>
        </w:rPr>
        <w:t>85 Employees · https://www.altimmune.com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Altimmune pivoted from its legacy vaccines platform (including a discontinued COVID nasal vaccine) to metabolic diseases, developing pemvidutide as a differentiated dual-action GLP-1/glucagon receptor agonist. The RECLAIM Phase 2 met primary endpoints for AUD in July 2026, and PERFORMA Phase 3 in MASH began enrollment in August 2026 [1][3]. However, no commercial products exist after more than a decade of operation, and the single successful pivot does not rise to the level of multiple transformative launches. AI Deployment (0/2): No AI-powered products or quantified AI-driven cost savings; the company operates as a traditional clinical-stage biotech without disclosed computational drug discovery capabilities. Market Share (0/2): Pre-commercial company with no marketed products; pemvidutide competes against established GLP-1 therapies from Novo Nordisk and Eli Lilly but has not yet reached market. Product Pipeline (2/2): Pemvidutide has specific near-term catalysts with regulatory support: PERFORMA Phase 3 in MASH began enrollment August 2026 with 52-week readout supporting accelerated approval in 2029, RECLAIM Phase 2 in AUD reported positive topline results July 2026 with primary endpoint met, and RESTORE ALD trial enrollment is complete with topline data expected H2 2027 [3][4]. FDA granted Breakthrough Therapy Designation for MASH and Fast Track for both MASH and AUD. R&amp;D Intensity (1/1): R&amp;D spending of $18.7M in Q2 2026 represents virtually 100% of operating activity for this pre-revenue company, well above biotech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Altimmune describes itself as focused on developing treatments for liver disease and metabolic conditions — patient-oriented but functionally interchangeable with dozens of peer biotechs targeting the same space. The mission does not articulate a distinctive vision beyond standard drug development. Community Impact (0/2): No evidence of charitable programs, foundation activities, or community investment beyond standard clinical trial access; the company's small size limits philanthropic capacity. Employee Retention (0/2): No public data on voluntary turnover, average tenure, or employee sentiment available. Insider Buying (1/2): Notable net insider buying pattern — 9 purchases and 0 sells in the past 12 months. CEO Jerry Durso bought 15,000 shares at $2.95 in August 2026, and CFO Gregory Weaver bought 10,000 shares in April 2026, totaling $242K+ in insider purchases with zero selling, indicating leadership conviction despite small absolute amounts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most metrics unavailable or negative due to pre-revenue clinical-stage status. D/E of 7.6% is exceptional (score 1.0, 1x weight), reflecting Altimmune's debt-light balance sheet funded by $535M in cash and short-term investments sufficient through 2029 [1]. ROE of -28.9% falls below the 0% floor (score 0.0, 2x weight) as the company reported a Q2 2026 net loss of $22.8M [1]. Profit margin of 0% scores 0.0 (1x weight). Forward P/E of -3.29 is excluded as meaningless for a pre-revenue company with negative earnings. Revenue growth YoY, revenue growth 5yr CAGR, and forward PEG are all unavailable. With only D/E contributing positively, the weighted sum of 1.0 against available max of 4.0 yields an infrastructure score of 3. Daily dollar volume of $9.4M passes the $1M liquidity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Altimmune demonstrates some infinite game characteristics — the strategic pivot from vaccines to metabolic disease showed existential flexibility, and insider buying by the new CEO signals personal conviction. However, the company is small, has undergone a recent CEO transition, and lacks the organizational depth or decades-long track record to demonstrate sustained infinite game behavior. The company's purpose is tied to a single drug asset rather than an enduring cause, and the competitive landscape in GLP-1/metabolic disease is intensely finite.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Altimmune's cause centers on developing treatments for liver disease and metabolic conditions — meaningful patient-focused work but not distinctively articulated. The pivot from vaccines to pemvidutide suggests a strategy driven by market opportunity as much as purpose [2]. There is no evidence of a deeply held Just Cause that shapes strategic decisions beyond standard biotech drug development; leadership discussions focus on clinical milestones and shareholder value rather than a vision of a future state.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founder Vipin Garg to Jerry Durso was executed as a planned succession rather than a disruptive ouster, with Garg praised for transforming the company and Durso bringing deep liver disease expertise from Intercept Pharmaceuticals [2]. The lean operating model (~85 employees executing through external partners) limits the scope for organizational trust assessment. Durso's immediate insider buying signals personal investment in the organization, but no specific employee sentiment data or cultural practices are publicly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Altimmune competes against pharmaceutical giants (Lilly's tirzepatide, Novo's semaglutide, Amgen's MariTide) and frames its competitive position around pemvidutide's differentiation — dual-action mechanism, lean mass preservation, and liver-targeted effects — rather than attacking competitors' weaknesses [3][4]. Management consistently positions pemvidutide as addressing unmet needs that existing GLP-1 therapies do not fully solve, demonstrating a competitive mindset focused on self-improvement rather than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Altimmune's pivot from a vaccines-focused company to a metabolic disease company built around pemvidutide was a significant strategic shift that required abandoning the original business focus, including a COVID-19 nasal vaccine candidate. The company entered an entirely new therapeutic area (MASH, obesity, AUD) because the science pointed to greater patient need and commercial potential [2]. However, this pivot was incremental rather than truly transformative and driven by commercial pragmatism rather than an enduring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abandon the original vaccines platform and concentrate resources entirely on pemvidutide required genuine conviction — the company bet its future on a single molecule in a space dominated by the world's largest pharmaceutical companies. CEO Jerry Durso's personal stock purchases at $2.95 in August 2026 demonstrate skin in the game [2]. The pursuit of three simultaneous clinical programs (MASH Phase 3, ALD, AUD) while pre-revenue demonstrates willingness to invest for long-term capability, though these are standard biotech capital allocation decisions rather than extraordinary acts of strategic courage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Altimmune at $2.20 with a $428M market cap offers asymmetric upside exposure to pemvidutide, a differentiated dual GLP-1/glucagon receptor agonist targeting the massive MASH market (~25% of U.S. adults). The company holds $535M in cash providing runway through 2029, eliminating near-term dilution risk while three clinical programs advance simultaneously: PERFORMA Phase 3 in MASH (enrolling since August 2026, 52-week readout in 2029), RESTORE in ALD (enrollment complete, H2 2027 topline data), and RECLAIM Phase 2 in AUD (positive topline July 2026, primary endpoint met) [1][3][4]. FDA Breakthrough Therapy Designation for MASH and Fast Track designations for MASH and AUD provide regulatory tailwinds. Pemvidutide's dual mechanism — combining GLP-1-mediated weight loss with glucagon receptor-mediated hepatic fat reduction — differentiates it from pure GLP-1 agonists that cause muscle loss. Insider buying (9 purchases, 0 sells, CEO buying at $2.95) signals leadership conviction at depressed levels [2].</w:t>
      </w:r>
    </w:p>
    <w:p>
      <w:pPr>
        <w:spacing w:after="120"/>
      </w:pPr>
      <w:r>
        <w:rPr>
          <w:rFonts w:ascii="Calibri" w:hAnsi="Calibri"/>
          <w:b w:val="0"/>
          <w:color w:val="3A4A28"/>
          <w:sz w:val="20"/>
        </w:rPr>
        <w:t>The bear case centers on binary clinical risk and competitive intensity. Pemvidutide competes against Eli Lilly's tirzepatide ($15B+ revenue), Novo Nordisk's semaglutide, and Amgen's MariTide — companies with 100-1000x Altimmune's resources [3]. The PERFORMA Phase 3 MASH readout is not expected until 2029, during which competitors will build substantial market share and clinical data advantages, and the failure rate for Phase 3 MASH trials is historically high. With zero commercial revenue, negative ROE of -28.9%, and Q2 2026 net loss of $22.8M, the company is entirely dependent on its cash runway and capital markets [1][5]. The CEO transition from founder Garg to Durso in January 2026 introduces execution risk during the most critical phase of clinical development [2]. Phase 3 AUD development is unfunded, with management seeking non-dilutive capital that may not materialize on favorable terms. The Inspire Impact Score of -62 (MISALIGNED) due to embryonic stem cell involvement limits allocation for faith-aligned portfolios.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RESTORE ALD trial topline data expected H2 2027 — positive results would validate pemvidutide's liver-specific mechanism in a second indication with significant unmet need and limited competition, potentially triggering partnership interest [3]</w:t>
      </w:r>
    </w:p>
    <w:p>
      <w:pPr>
        <w:spacing w:before="40" w:after="40"/>
        <w:ind w:left="283"/>
      </w:pPr>
      <w:r>
        <w:rPr>
          <w:rFonts w:ascii="Calibri" w:hAnsi="Calibri"/>
          <w:b/>
          <w:color w:val="4A6B25"/>
          <w:sz w:val="20"/>
        </w:rPr>
        <w:t xml:space="preserve">2. </w:t>
      </w:r>
      <w:r>
        <w:rPr>
          <w:rFonts w:ascii="Calibri" w:hAnsi="Calibri"/>
          <w:b w:val="0"/>
          <w:color w:val="3A4A28"/>
          <w:sz w:val="20"/>
        </w:rPr>
        <w:t>PERFORMA Phase 3 MASH enrollment milestones through 2028 — enrollment pace and interim safety data will provide ongoing de-risking signals ahead of the pivotal 52-week accelerated approval readout in 2029 [3][4]</w:t>
      </w:r>
    </w:p>
    <w:p>
      <w:pPr>
        <w:spacing w:before="40" w:after="40"/>
        <w:ind w:left="283"/>
      </w:pPr>
      <w:r>
        <w:rPr>
          <w:rFonts w:ascii="Calibri" w:hAnsi="Calibri"/>
          <w:b/>
          <w:color w:val="4A6B25"/>
          <w:sz w:val="20"/>
        </w:rPr>
        <w:t xml:space="preserve">3. </w:t>
      </w:r>
      <w:r>
        <w:rPr>
          <w:rFonts w:ascii="Calibri" w:hAnsi="Calibri"/>
          <w:b w:val="0"/>
          <w:color w:val="3A4A28"/>
          <w:sz w:val="20"/>
        </w:rPr>
        <w:t>Potential AUD Phase 3 partnership or non-dilutive financing — positive Phase 2 RECLAIM data (primary endpoint met) positions management to secure development funding without equity dilution, validating the asset's commercial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Phase 3 clinical risk — PERFORMA MASH trial failure would eliminate the company's primary value driver, and the 2029 readout timeline means three years of uncertainty with no revenue generation during the wait [1][3]</w:t>
      </w:r>
    </w:p>
    <w:p>
      <w:pPr>
        <w:spacing w:before="40" w:after="40"/>
        <w:ind w:left="283"/>
      </w:pPr>
      <w:r>
        <w:rPr>
          <w:rFonts w:ascii="Calibri" w:hAnsi="Calibri"/>
          <w:b/>
          <w:color w:val="4A6B25"/>
          <w:sz w:val="20"/>
        </w:rPr>
        <w:t xml:space="preserve">2. </w:t>
      </w:r>
      <w:r>
        <w:rPr>
          <w:rFonts w:ascii="Calibri" w:hAnsi="Calibri"/>
          <w:b w:val="0"/>
          <w:color w:val="3A4A28"/>
          <w:sz w:val="20"/>
        </w:rPr>
        <w:t>Overwhelming competitive intensity from Eli Lilly ($15B+ tirzepatide revenue), Novo Nordisk (semaglutide franchise), and Madrigal (resmetirom, first approved MASH treatment) with vastly greater clinical, commercial, and manufacturing resources [3][4]</w:t>
      </w:r>
    </w:p>
    <w:p>
      <w:pPr>
        <w:spacing w:before="40" w:after="40"/>
        <w:ind w:left="283"/>
      </w:pPr>
      <w:r>
        <w:rPr>
          <w:rFonts w:ascii="Calibri" w:hAnsi="Calibri"/>
          <w:b/>
          <w:color w:val="4A6B25"/>
          <w:sz w:val="20"/>
        </w:rPr>
        <w:t xml:space="preserve">3. </w:t>
      </w:r>
      <w:r>
        <w:rPr>
          <w:rFonts w:ascii="Calibri" w:hAnsi="Calibri"/>
          <w:b w:val="0"/>
          <w:color w:val="3A4A28"/>
          <w:sz w:val="20"/>
        </w:rPr>
        <w:t>Pre-revenue cash burn of ~$91M annually with stock at $2.20 — any capital raise would be severely dilutive, and failure to secure AUD Phase 3 non-dilutive funding could force equity issuance at unfavorable terms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Altimmune's core business — developing and eventually manufacturing injectable biologic therapies for MASH and liver diseases — is structurally protected from AI disruption. Clinical drug development requires physical clinical trials with human subjects, FDA regulatory review with extensive safety and efficacy data, and biologic manufacturing that cannot be substituted by software [1][3]. The FDA approval pathway, patient recruitment, and GMP manufacturing represent deep regulatory and physical-world moats. AI tools may accelerate certain drug discovery and trial design processes but cannot replace the fundamental requirement of proving pemvidutide's safety and efficacy through multi-year human trials. The competitive risk comes from rival drug developers leveraging AI to accelerate their own pipelines, not from AI substituting Altimmune's products. AI Opportunity (0/1): No AI-derived revenue or quantified AI-driven efficiencies; the company does not disclose use of AI in drug discovery or clinical trial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Embryonic Stem Cells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Altimmune Q2 2026 Earnings Release — Net Loss $22.8M, R&amp;D $18.7M, Cash $535M —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Altimmune Corporate — CEO Transition (Garg to Durso, January 2026), Insider Buying (CEO 15K shares at $2.95, CFO 10K shares, 9 buys 0 sells), altimmune.com/SEC Filings, 2026</w:t>
      </w:r>
    </w:p>
    <w:p>
      <w:pPr>
        <w:spacing w:before="20" w:after="20"/>
        <w:ind w:left="170"/>
      </w:pPr>
      <w:r>
        <w:rPr>
          <w:rFonts w:ascii="Calibri" w:hAnsi="Calibri"/>
          <w:b/>
          <w:color w:val="4A6B25"/>
          <w:sz w:val="15"/>
        </w:rPr>
        <w:t xml:space="preserve">3. </w:t>
      </w:r>
      <w:r>
        <w:rPr>
          <w:rFonts w:ascii="Calibri" w:hAnsi="Calibri"/>
          <w:b w:val="0"/>
          <w:color w:val="3A4A28"/>
          <w:sz w:val="17"/>
        </w:rPr>
        <w:t>Altimmune PERFORMA Phase 3 MASH Trial Enrollment Initiation and ALD RESTORE Trial Update — Company Press Release, August 2026</w:t>
      </w:r>
    </w:p>
    <w:p>
      <w:pPr>
        <w:spacing w:before="20" w:after="20"/>
        <w:ind w:left="170"/>
      </w:pPr>
      <w:r>
        <w:rPr>
          <w:rFonts w:ascii="Calibri" w:hAnsi="Calibri"/>
          <w:b/>
          <w:color w:val="4A6B25"/>
          <w:sz w:val="15"/>
        </w:rPr>
        <w:t xml:space="preserve">4. </w:t>
      </w:r>
      <w:r>
        <w:rPr>
          <w:rFonts w:ascii="Calibri" w:hAnsi="Calibri"/>
          <w:b w:val="0"/>
          <w:color w:val="3A4A28"/>
          <w:sz w:val="17"/>
        </w:rPr>
        <w:t>Altimmune RECLAIM Phase 2 AUD Positive Topline Results — Primary Endpoint Met, FDA Fast Track Designation — Company Press Release, July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ALT Key Statistics: Price $2.20, Market Cap $428M, D/E 7.6%, ROE -28.9%, Avg Volume 4.26M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