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w:t>
      </w:r>
      <w:r>
        <w:rPr>
          <w:rFonts w:ascii="Calibri" w:hAnsi="Calibri"/>
          <w:b/>
          <w:color w:val="1A2010"/>
          <w:sz w:val="40"/>
        </w:rPr>
        <w:t xml:space="preserve">  Air Lease Corporation</w:t>
      </w:r>
    </w:p>
    <w:p>
      <w:pPr>
        <w:spacing w:after="120"/>
      </w:pPr>
      <w:r>
        <w:rPr>
          <w:rFonts w:ascii="Calibri" w:hAnsi="Calibri"/>
          <w:b/>
          <w:color w:val="6E8450"/>
          <w:sz w:val="18"/>
        </w:rPr>
        <w:t>GROWTH SLEEVE · 2026-09-13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Rental &amp; Leasing Services · NYSE · United States</w:t>
      </w:r>
    </w:p>
    <w:p>
      <w:pPr>
        <w:spacing w:after="80"/>
      </w:pPr>
      <w:r>
        <w:rPr>
          <w:rFonts w:ascii="Calibri" w:hAnsi="Calibri"/>
          <w:b w:val="0"/>
          <w:color w:val="3A4A28"/>
          <w:sz w:val="20"/>
        </w:rPr>
        <w:t>Air Lease Corporation purchases new commercial jet aircraft and leases them to airlines worldwide. Founded in 2010 by industry pioneer Steven Udvar-Hazy, the company owns ~496 aircraft and manages 45 additional. AL completed a $7.4B merger with Sumitomo Corporation on April 8, 2026, becoming a subsidiary of Sumisho Air Lease Corporation; common stock delisted from NYSE on April 18, 2026. Shareholders received $65.00 per share in cash. SMBC Aviation Capital acquired the outstanding order backlog. The company continues to file with the SEC as Sumisho Air Lease and reported Q2 2026 total revenue of $641.1M.</w:t>
      </w:r>
    </w:p>
    <w:p>
      <w:r>
        <w:rPr>
          <w:rFonts w:ascii="Calibri" w:hAnsi="Calibri"/>
          <w:b/>
          <w:color w:val="6E8450"/>
          <w:sz w:val="18"/>
        </w:rPr>
        <w:t>160 Employees · https://www.airleasecorp.com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Air Lease grew from a 2010 startup to a 496-aircraft, $3.0B-revenue global lessor, navigated the COVID airline crisis and absorbed $800M+ in Russian-sanctioned aircraft write-offs, then executed a $7.4B merger with Sumitomo — a transformative strategic outcome for shareholders at $65/share [1][2]. AI Deployment (0/2): No evidence of proprietary AI deployment generating measurable results was found; industry reports indicate aircraft leasing firms are exploring GenAI for residual value assessment and maintenance reserves but Air Lease has not disclosed specific initiatives [3]. Market Share (2/2): Air Lease was a top-3 independent aircraft lessor globally with a $3.0B revenue base, 496-aircraft fleet, and 218-aircraft order backlog prior to the merger; the Sumitomo/SMBC combination creates one of the world's largest aircraft leasing platforms by fleet size [1][2]. Product Pipeline (1/2): The 218-aircraft order backlog with Boeing and Airbus provided clear revenue visibility (100% placement through 2026), though this backlog was transferred to SMBC Aviation Capital as part of the merger [1]. R&amp;D Intensity (0/1): Aircraft leasing companies do not conduct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Air Lease's purpose — modernizing the world's airline fleet with the most fuel-efficient, new-technology aircraft — connected fleet management to environmental sustainability and global connectivity [4]. This was specific, thoughtful, and driven by founder Udvar-Hazy's 50+ year vision for aviation finance starting with ILFC in 1973. The purpose shaped consistent strategic decisions (exclusively new fuel-efficient aircraft, no older-generation orders). Community Impact (1/2): Air Lease invested exclusively in modern, fuel-efficient aircraft reducing airline carbon intensity, and received 'Best Midcap ESG' recognition from Institutional Investor [4]. Fleet modernization with aircraft that are 20-25% more fuel-efficient directly reduces environmental impact, though no separate charitable foundation was identified for this 160-person company. Employee Retention (1/2): Comparably ranked Air Lease 3rd in Overall Culture Score versus competitors, and management team average tenure of 12.7 years and board tenure of 14.9 years indicate exceptional leadership stability [3]. Insider Buying (1/2): Founder Udvar-Hazy maintained meaningful equity exposure throughout Air Lease's public life, signaling long-term conviction in the business he built twice. He retired as Executive Chairman in May 2025 after ensuring the Sumitomo merger path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pre-delisting metrics (stock delisted April 18, 2026). D/E of 253% is structural for aircraft leasing — the fleet IS the balance sheet with $19.9B debt financing $33.2B in total assets — and scores 0.20 [1]. ROE of 9.22% scores 0.61 (2x weight for growth stocks). TTM revenue of ~$3.0B grew ~10% YoY (score 1.0), though Q2 2026 revenue declined 12.4% YoY to $641.1M partly due to merger transition effects [5]. 5-year revenue CAGR of ~8% scores 0.87 (2x weight). Forward P/E of 12.52 and PEG of 0.69 both score 1.0 (PEG at 2x weight), representing deep value metrics for a company with growing recurring lease revenue in a supply-constrained aircraft market [2]. Profit margin of ~34% scores 1.0. Liquidity floor cleared pre-delisting: 2.29M avg vol x $65.00 = $148.9M daily [2]. NOTE: Stock delisted; these metrics are pre-merger and no longer tradeable.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Air Lease under CEO John Plueger and founder-chairman Steven Udvar-Hazy played a predominantly infinite game — the company was built from the ashes of ILFC with a multi-decade vision for aviation finance. Udvar-Hazy pioneered aircraft leasing at ILFC in 1973, sold to AIG, then founded Air Lease at age 63 during the 2010 financial crisis aftermath. The buy-new, lease, sell strategy and massive order backlog demonstrated long-term thinking. The Sumitomo merger provides permanent capital to extend this vision. Leadership continuity was exceptional — management tenure averaged 12.7 years.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Air Lease had a genuine purpose — modernizing the world's airline fleet with the most fuel-efficient, new-technology aircraft, connecting aviation finance to global connectivity and environmental sustainability [4]. Founded by Steven Udvar-Hazy, who pioneered aircraft leasing 50+ years ago, the purpose was validated across decades and industry crises. Strategic decisions (exclusively new fuel-efficient aircraft, writing off Russian fleet rather than compromising integrity) traced to this purpose. However, the purpose was ultimately tied to financial asset management rather than a transformative Just Cause that inspires sacrifice beyond commercial logic.</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Air Lease ranked 3rd in culture score on Comparably, and the lean 160-person team with long-tenured leadership (CEO Plueger since 2016, founder Udvar-Hazy since inception, average management tenure 12.7 years) evidenced strong organizational stability [3]. The small team size enabled direct access to leadership and a cohesive environment. However, no specific data on voluntary turnover, psychological safety, or employee empowerment beyond these indicators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Air Lease competed against AerCap (largest fleet globally), SMBC Aviation Capital, and Avolon, each with different strengths. The company's competitive language focused on outperforming on fleet age and quality rather than market share domination [2]. The buy-new strategy explicitly acknowledged AerCap's fleet size advantage, choosing to differentiate on aircraft modernity and customer relationships — a competitive framing reflecting Sinek's infinite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founding of Air Lease in 2010 — when Udvar-Hazy left ILFC after AIG's crisis and started fresh at 63 — was a remarkable act of existential flexibility [4]. The Sumitomo merger (April 2026) represents another strategic transformation, providing permanent Japanese capital. However, the core business model (buy new, lease, sell) remained consistent since founding — no industry-disruption pivot test was required.</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Air Lease demonstrates a pattern of courageous long-term decisions. Udvar-Hazy founded the company at age 63 during the 2010 financial crisis aftermath — a proactive bet requiring billions in capital when aviation financing was frozen [4]. Leadership maintained aggressive aircraft orders through COVID-19 when airline demand collapsed, positioning the fleet for post-pandemic recovery. The decision to write off $800M+ in Russian-sanctioned aircraft and continue expanding showed resolve over defensiveness. The Sumitomo merger, accepting permanent capital partnership over independence, prioritized long-term fleet growth over founder control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Air Lease's investment thesis concluded with the April 2026 Sumitomo merger at $65.00/share, valuing the company at $7.4B ($28.2B including assumed debt) [1]. The merger validated the underlying asset quality: a 496-aircraft fleet of exclusively modern, fuel-efficient aircraft generating $3.0B in annual revenue with ~34% profit margins [2]. Pre-merger metrics showed compelling value at 12.52x forward P/E with a PEG of 0.69, reflecting a supply-constrained aircraft market where Boeing and Airbus backlogs extend 5+ years [2]. For analytical purposes, the fundamentals remain strong — Q1 2026 rental revenue grew 4% to $674M, and the chronic aircraft supply shortage gives lessors unprecedented pricing power on lease rates and extensions.</w:t>
      </w:r>
    </w:p>
    <w:p>
      <w:pPr>
        <w:spacing w:after="120"/>
      </w:pPr>
      <w:r>
        <w:rPr>
          <w:rFonts w:ascii="Calibri" w:hAnsi="Calibri"/>
          <w:b w:val="0"/>
          <w:color w:val="3A4A28"/>
          <w:sz w:val="20"/>
        </w:rPr>
        <w:t>The investment in AL is complete — stock delisted April 18, 2026, and shareholders received $65.00/share in cash [1]. For forward-looking analysis: D/E of 253% with $19.9B in total debt exposes the business to rising interest rates under Sumitomo ownership. Q2 2026 total revenue declined 12.4% YoY to $641.1M with net income of just $7.2M, heavily impacted by $65M in merger transaction costs and $26M in accelerated stock-based compensation [5]. The airline industry remains cyclical — a deep recession could trigger lease deferrals or airline bankruptcies. Boeing's ongoing production challenges could constrain fleet growth. The order backlog was transferred to SMBC Aviation Capital, potentially changing the fleet expansion dynamics. As a private subsidiary, Air Lease will no longer provide the public market transparency that supported its premium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Sumitomo permanent capital — access to Sumitomo Corporation's $120B+ balance sheet could lower Air Lease's composite cost of debt (4.29% in Q1) and enable accelerated fleet growth under private ownership [1]</w:t>
      </w:r>
    </w:p>
    <w:p>
      <w:pPr>
        <w:spacing w:before="40" w:after="40"/>
        <w:ind w:left="283"/>
      </w:pPr>
      <w:r>
        <w:rPr>
          <w:rFonts w:ascii="Calibri" w:hAnsi="Calibri"/>
          <w:b/>
          <w:color w:val="4A6B25"/>
          <w:sz w:val="20"/>
        </w:rPr>
        <w:t xml:space="preserve">2. </w:t>
      </w:r>
      <w:r>
        <w:rPr>
          <w:rFonts w:ascii="Calibri" w:hAnsi="Calibri"/>
          <w:b w:val="0"/>
          <w:color w:val="3A4A28"/>
          <w:sz w:val="20"/>
        </w:rPr>
        <w:t>Aircraft supply shortage — Boeing and Airbus production backlogs extending 5+ years give lessors unprecedented pricing power on lease extensions and new placements [2]</w:t>
      </w:r>
    </w:p>
    <w:p>
      <w:pPr>
        <w:spacing w:before="40" w:after="40"/>
        <w:ind w:left="283"/>
      </w:pPr>
      <w:r>
        <w:rPr>
          <w:rFonts w:ascii="Calibri" w:hAnsi="Calibri"/>
          <w:b/>
          <w:color w:val="4A6B25"/>
          <w:sz w:val="20"/>
        </w:rPr>
        <w:t xml:space="preserve">3. </w:t>
      </w:r>
      <w:r>
        <w:rPr>
          <w:rFonts w:ascii="Calibri" w:hAnsi="Calibri"/>
          <w:b w:val="0"/>
          <w:color w:val="3A4A28"/>
          <w:sz w:val="20"/>
        </w:rPr>
        <w:t>Fleet modernization premium — 496-aircraft fleet composed entirely of new-technology, fuel-efficient aircraft commands higher lease rates and attracts the strongest airline credits, generating durable recurring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delisted — Air Lease is no longer publicly investable; shareholders received $65.00/share in April 2026 and the investment is complete [1]</w:t>
      </w:r>
    </w:p>
    <w:p>
      <w:pPr>
        <w:spacing w:before="40" w:after="40"/>
        <w:ind w:left="283"/>
      </w:pPr>
      <w:r>
        <w:rPr>
          <w:rFonts w:ascii="Calibri" w:hAnsi="Calibri"/>
          <w:b/>
          <w:color w:val="4A6B25"/>
          <w:sz w:val="20"/>
        </w:rPr>
        <w:t xml:space="preserve">2. </w:t>
      </w:r>
      <w:r>
        <w:rPr>
          <w:rFonts w:ascii="Calibri" w:hAnsi="Calibri"/>
          <w:b w:val="0"/>
          <w:color w:val="3A4A28"/>
          <w:sz w:val="20"/>
        </w:rPr>
        <w:t>Interest rate exposure — $19.9B in debt at 253% D/E means rising funding costs directly compress lease rate margins; the business remains fundamentally leveraged to the credit environment [1]</w:t>
      </w:r>
    </w:p>
    <w:p>
      <w:pPr>
        <w:spacing w:before="40" w:after="40"/>
        <w:ind w:left="283"/>
      </w:pPr>
      <w:r>
        <w:rPr>
          <w:rFonts w:ascii="Calibri" w:hAnsi="Calibri"/>
          <w:b/>
          <w:color w:val="4A6B25"/>
          <w:sz w:val="20"/>
        </w:rPr>
        <w:t xml:space="preserve">3. </w:t>
      </w:r>
      <w:r>
        <w:rPr>
          <w:rFonts w:ascii="Calibri" w:hAnsi="Calibri"/>
          <w:b w:val="0"/>
          <w:color w:val="3A4A28"/>
          <w:sz w:val="20"/>
        </w:rPr>
        <w:t>Q2 2026 revenue decline — total revenue fell 12.4% YoY to $641.1M with net income of only $7.2M after $91M in merger-related costs, raising questions about near-term earnings normalization under private ownership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Air Lease's core business — owning and leasing physical aircraft to airlines — is structurally immune to AI disruption [2]. Aircraft are tangible assets manufactured by Boeing and Airbus, maintained under FAA/EASA regulations, and physically operated by airlines. AI cannot substitute for an A321neo or 787 Dreamliner. The company's competitive moat rests on fleet strategy, airline relationships, manufacturer order slots, and balance sheet capacity — none replicable by AI. Aircraft supply remains chronically constrained with manufacturer backlogs extending 5+ years, further protecting lessors' pricing power. AI Opportunity (0/1): No quantified AI-specific revenue or AI-driven operational savings have been disclosed by Air Lease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Sumisho Air Lease / Sumitomo Corporation Merger Completion — $7.4B deal, $65/share, April 8, 2026; NYSE delisting April 18, 2026; FlightGlobal, Sumitomo press release, SEC filings</w:t>
      </w:r>
    </w:p>
    <w:p>
      <w:pPr>
        <w:spacing w:before="20" w:after="20"/>
        <w:ind w:left="170"/>
      </w:pPr>
      <w:r>
        <w:rPr>
          <w:rFonts w:ascii="Calibri" w:hAnsi="Calibri"/>
          <w:b/>
          <w:color w:val="4A6B25"/>
          <w:sz w:val="15"/>
        </w:rPr>
        <w:t xml:space="preserve">2. </w:t>
      </w:r>
      <w:r>
        <w:rPr>
          <w:rFonts w:ascii="Calibri" w:hAnsi="Calibri"/>
          <w:b w:val="0"/>
          <w:color w:val="3A4A28"/>
          <w:sz w:val="17"/>
        </w:rPr>
        <w:t>StockAnalysis / Yahoo Finance — AL pre-delisting financial data: stock price $65.00, PE 7.00, forward PE 12.52, PEG 0.69, D/E 253%, ROE 9.22%, revenue TTM $3.02B; accessed July 2026</w:t>
      </w:r>
    </w:p>
    <w:p>
      <w:pPr>
        <w:spacing w:before="20" w:after="20"/>
        <w:ind w:left="170"/>
      </w:pPr>
      <w:r>
        <w:rPr>
          <w:rFonts w:ascii="Calibri" w:hAnsi="Calibri"/>
          <w:b/>
          <w:color w:val="4A6B25"/>
          <w:sz w:val="15"/>
        </w:rPr>
        <w:t xml:space="preserve">3. </w:t>
      </w:r>
      <w:r>
        <w:rPr>
          <w:rFonts w:ascii="Calibri" w:hAnsi="Calibri"/>
          <w:b w:val="0"/>
          <w:color w:val="3A4A28"/>
          <w:sz w:val="17"/>
        </w:rPr>
        <w:t>Comparably — Air Lease Corporation culture rankings (3rd overall), management tenure 12.7 years, board tenure 14.9 years;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Air Lease Corporation Corporate Responsibility and Fleet Strategy — fuel-efficient fleet modernization, ESG commitment, 'Best Midcap ESG' recognition; airleasecorp.com</w:t>
      </w:r>
    </w:p>
    <w:p>
      <w:pPr>
        <w:spacing w:before="20" w:after="20"/>
        <w:ind w:left="170"/>
      </w:pPr>
      <w:r>
        <w:rPr>
          <w:rFonts w:ascii="Calibri" w:hAnsi="Calibri"/>
          <w:b/>
          <w:color w:val="4A6B25"/>
          <w:sz w:val="15"/>
        </w:rPr>
        <w:t xml:space="preserve">5. </w:t>
      </w:r>
      <w:r>
        <w:rPr>
          <w:rFonts w:ascii="Calibri" w:hAnsi="Calibri"/>
          <w:b w:val="0"/>
          <w:color w:val="3A4A28"/>
          <w:sz w:val="17"/>
        </w:rPr>
        <w:t>Sumisho Air Lease Q2 2026 10-Q — Revenue $641.1M (-12.4% YoY), net income $7.2M ($65M transaction costs + $26M accelerated stock comp); SEC filing,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