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AMBP</w:t>
      </w:r>
      <w:r>
        <w:rPr>
          <w:rFonts w:ascii="Calibri" w:hAnsi="Calibri"/>
          <w:b/>
          <w:color w:val="1A2010"/>
          <w:sz w:val="40"/>
        </w:rPr>
        <w:t xml:space="preserve">  Ardagh Metal Packaging S.A.</w:t>
      </w:r>
    </w:p>
    <w:p>
      <w:pPr>
        <w:spacing w:after="120"/>
      </w:pPr>
      <w:r>
        <w:rPr>
          <w:rFonts w:ascii="Calibri" w:hAnsi="Calibri"/>
          <w:b/>
          <w:color w:val="6E8450"/>
          <w:sz w:val="18"/>
        </w:rPr>
        <w:t>GROWTH SLEEVE · 2026-09-20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Packaging &amp; Containers · NYSE · Luxembourg</w:t>
      </w:r>
    </w:p>
    <w:p>
      <w:pPr>
        <w:spacing w:after="80"/>
      </w:pPr>
      <w:r>
        <w:rPr>
          <w:rFonts w:ascii="Calibri" w:hAnsi="Calibri"/>
          <w:b w:val="0"/>
          <w:color w:val="3A4A28"/>
          <w:sz w:val="20"/>
        </w:rPr>
        <w:t>Ardagh Metal Packaging (AMP) is a global metal beverage can manufacturer operating across Europe, North America, and Brazil. A subsidiary of Ardagh Group, AMP produces aluminum and steel beverage cans for sparkling water, soft drinks, beer, wine, energy drinks, and flavored alcoholic beverages. Founded in 1932 and headquartered in Luxembourg, the company went public via SPAC in August 2021. Q2 2026 revenue reached $1.71B (+18% YoY) with adjusted EBITDA of $240M (+14%), and management raised FY2026 EBITDA guidance to $775M-$790M.</w:t>
      </w:r>
    </w:p>
    <w:p>
      <w:r>
        <w:rPr>
          <w:rFonts w:ascii="Calibri" w:hAnsi="Calibri"/>
          <w:b/>
          <w:color w:val="6E8450"/>
          <w:sz w:val="18"/>
        </w:rPr>
        <w:t>6,500 Employees · https://www.ardaghmetalpackaging.com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Ardagh Metal Packaging's core business — manufacturing aluminum beverage cans — has remained fundamentally unchanged. No significant product launches, market pivots, or business model transformations in the last five years. The company makes the same products it made a decade ago, with incremental process improvements [1]. AI Deployment (0/2): No AI-powered products or quantified AI-driven cost savings reported. The company focuses on traditional manufacturing process optimization rather than AI integration [2]. Market Share (1/2): AMP is one of the three largest global beverage can manufacturers alongside Ball Corporation and Crown Holdings, with meaningful scale across Europe, North America, and Brazil [1]. However, Ball Corp leads the market, and AMP is not gaining share or defining the category. Product Pipeline (0/2): No next-generation products with specific timelines. Innovation centers on lightweighting, sustainability improvements, and process optimization rather than new product categories [2]. R&amp;D Intensity (0/1): Manufacturing R&amp;D focuses on incremental process improvement; no evidence of above-industry R&amp;D spending relative to packaging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AMP's stated values are 'Inclusion, Trust, Teamwork and Excellence' — generic corporate values interchangeable with any industrial company [2]. No distinctive purpose statement articulating why the company exists beyond manufacturing cans for profit. Community Impact (1/2): AMP publishes annual Sustainability Reports, holds SBTi-approved near-term emissions reduction targets, and is a signatory to the UN Global Compact [3]. The sustainability positioning around aluminum's infinite recyclability provides some community purpose, but no specific philanthropic programs or dollar amounts were identified. Employee Retention (1/2): Glassdoor shows a relatively positive picture with 81% of employees recommending the company and a 3.7/5 culture and values rating [2]. This suggests adequate employee satisfaction and organizational stability, though some reviews note leadership lacks direction and decision-making is slow. Insider Buying (0/2): No evidence of meaningful net insider buying in the last 12 months. AMP is controlled by parent Ardagh Group S.A.</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D/E and ROE scoring 0 due to negative book equity (-$1.27/share). Total debt of $4.34B against only $189M cash and negative total equity reflects extreme leverage inherited from the Ardagh Group corporate structure [4]. Revenue growth YoY of 17.7% exceeds the 10% target, scoring full marks, though this is partly driven by aluminum cost pass-through to customers rather than pure organic growth [1]. Estimated 5-year revenue CAGR of ~8.5% scores 0.90 at 2x weight. Forward P/E of 15.2 is well below the 20 target, scoring full marks [4]. Profit margin of 0.68% is barely positive, scoring near zero (0.03) against the 20% target — the primary drag alongside negative equity [4]. Forward PEG unavailable, excluded from calculation. Liquidity passes: $4.63 x 2.43M avg volume = ~$11.3M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Ardagh Metal Packaging operates as a quintessential finite player. The company exists to manufacture beverage cans efficiently and profitably, with no articulated higher purpose beyond operational execution. Strategic decisions are driven by cost optimization, capacity utilization, and shareholder returns rather than a transcendent cause. The Ardagh Group corporate structure — with AMP as a subsidiary of a highly leveraged parent — reinforces a financial engineering mindset focused on debt service and dividend maintenance over long-term capability building. The 81% Glassdoor recommend rate suggests adequate employee satisfaction but no extraordinary organizational culture.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AMP does not articulate a Just Cause. The company makes beverage cans — there is no stated vision of a better future, no purpose beyond manufacturing and profit maximization [2]. The core values of 'Inclusion, Trust, Teamwork and Excellence' are generic corporate platitudes that do not connect the business to a larger purpose. The sustainability messaging around aluminum recyclability provides an environmental angle, but this is marketing for the product rather than a cause that drives strategic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data is relatively positive with 81% of employees recommending the company and a 3.7/5 culture rating [2]. These metrics suggest a stable organization without major cultural red flags. However, reviews note that 'leadership lacks direction and timely decision making' and there is a 'siloed culture' when working across manufacturing plants [2]. This is adequate trust — stable but not exceptional, consistent with a large industrial manufacturer.</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beverage can industry is an oligopoly (Ball, Crown, AMP) where competition centers on pricing, capacity, and contract wins. No management commentary was found acknowledging competitors' strengths as motivation for self-improvement or framing competition as mutual improvement rather than market share capture.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AMP's business model — manufacturing metal beverage cans — has remained fundamentally the same for decades [1]. The company has not made a transformative strategic pivot or entered an entirely new market. Geographic expansion (including Brazil) and sustainability investments represent incremental evolution within the same business model, not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or sacrificing near-term results for future capability [1]. Strategic decisions appear driven by financial optimization — capacity expansion follows demand, pricing follows aluminum costs, and the corporate structure prioritizes debt service and dividend maintenance. CEO Oliver Graham has led since 2020 but no examples of courageous decisions were identified in public disclosures.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Ardagh Metal Packaging is benefiting from the structural shift toward aluminum beverage cans driven by sustainability preferences (infinitely recyclable) and category expansion into hard seltzers, energy drinks, and sparkling water. Q2 2026 revenue grew 18% YoY to $1.71B with adjusted EBITDA of $240M (+14%), and management raised FY2026 EBITDA guidance to $775M-$790M [1]. At 15.2x forward earnings, the stock is inexpensively valued for a business with defensive demand characteristics (beverages are relatively recession-resistant) and strong operating cash flow ($495M TTM) supporting the 8.6% dividend yield [4]. Europe was the key outperformance driver with strong volume growth and favorable pricing, while Brazil expansion provides a high-growth emerging market lever.</w:t>
      </w:r>
    </w:p>
    <w:p>
      <w:pPr>
        <w:spacing w:after="120"/>
      </w:pPr>
      <w:r>
        <w:rPr>
          <w:rFonts w:ascii="Calibri" w:hAnsi="Calibri"/>
          <w:b w:val="0"/>
          <w:color w:val="3A4A28"/>
          <w:sz w:val="20"/>
        </w:rPr>
        <w:t>The bear case is dominated by balance sheet risk and margin structure. AMP carries $4.34B in debt against negative equity (-$758M), reflecting the highly leveraged Ardagh Group corporate structure [4]. The 8.64% dividend yield looks attractive but the 800% payout ratio relative to trailing earnings is unsustainable from a GAAP perspective — cash flow covers it ($265M FCF vs ~$239M dividends) but there is no margin for error [4]. Profit margin of 0.68% is razor-thin, meaning even modest cost increases, volume shortfalls, or aluminum price volatility could swing the company to losses. The 17.7% revenue growth flatters organic performance — a significant portion comes from aluminum cost pass-through rather than volume growth [1]. The subsidiary structure under Ardagh Group creates governance risk, as parent company decisions may not align with public minority shareholder interests. The trailing P/E of 92.6x reflects the depressed earnings power of this capital-intensive, debt-heavy business model.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can-growth tailwind as beverage industry shifts toward aluminum packaging driven by consumer sustainability preferences and regulatory pressure against single-use plastics [1][3]</w:t>
      </w:r>
    </w:p>
    <w:p>
      <w:pPr>
        <w:spacing w:before="40" w:after="40"/>
        <w:ind w:left="283"/>
      </w:pPr>
      <w:r>
        <w:rPr>
          <w:rFonts w:ascii="Calibri" w:hAnsi="Calibri"/>
          <w:b/>
          <w:color w:val="4A6B25"/>
          <w:sz w:val="20"/>
        </w:rPr>
        <w:t xml:space="preserve">2. </w:t>
      </w:r>
      <w:r>
        <w:rPr>
          <w:rFonts w:ascii="Calibri" w:hAnsi="Calibri"/>
          <w:b w:val="0"/>
          <w:color w:val="3A4A28"/>
          <w:sz w:val="20"/>
        </w:rPr>
        <w:t>European volume momentum with favorable pricing dynamics — Q2 2026 European segment was the primary growth driver, and continued energy cost normalization could improve margins [1]</w:t>
      </w:r>
    </w:p>
    <w:p>
      <w:pPr>
        <w:spacing w:before="40" w:after="40"/>
        <w:ind w:left="283"/>
      </w:pPr>
      <w:r>
        <w:rPr>
          <w:rFonts w:ascii="Calibri" w:hAnsi="Calibri"/>
          <w:b/>
          <w:color w:val="4A6B25"/>
          <w:sz w:val="20"/>
        </w:rPr>
        <w:t xml:space="preserve">3. </w:t>
      </w:r>
      <w:r>
        <w:rPr>
          <w:rFonts w:ascii="Calibri" w:hAnsi="Calibri"/>
          <w:b w:val="0"/>
          <w:color w:val="3A4A28"/>
          <w:sz w:val="20"/>
        </w:rPr>
        <w:t>EBITDA guidance raise to $775M-$790M signals management confidence in volume and pricing trajectory through H2 2026, with potential for further deleveraging if EBITDA growth continues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with $4.34B debt and negative equity creates financial fragility — any EBITDA shortfall threatens debt covenants and dividend sustainability, with no equity cushion to absorb losses [4]</w:t>
      </w:r>
    </w:p>
    <w:p>
      <w:pPr>
        <w:spacing w:before="40" w:after="40"/>
        <w:ind w:left="283"/>
      </w:pPr>
      <w:r>
        <w:rPr>
          <w:rFonts w:ascii="Calibri" w:hAnsi="Calibri"/>
          <w:b/>
          <w:color w:val="4A6B25"/>
          <w:sz w:val="20"/>
        </w:rPr>
        <w:t xml:space="preserve">2. </w:t>
      </w:r>
      <w:r>
        <w:rPr>
          <w:rFonts w:ascii="Calibri" w:hAnsi="Calibri"/>
          <w:b w:val="0"/>
          <w:color w:val="3A4A28"/>
          <w:sz w:val="20"/>
        </w:rPr>
        <w:t>Razor-thin profit margin of 0.68% leaves virtually no buffer against cost inflation, aluminum price spikes, or volume declines — a 1% margin compression would eliminate profitability entirely [4]</w:t>
      </w:r>
    </w:p>
    <w:p>
      <w:pPr>
        <w:spacing w:before="40" w:after="40"/>
        <w:ind w:left="283"/>
      </w:pPr>
      <w:r>
        <w:rPr>
          <w:rFonts w:ascii="Calibri" w:hAnsi="Calibri"/>
          <w:b/>
          <w:color w:val="4A6B25"/>
          <w:sz w:val="20"/>
        </w:rPr>
        <w:t xml:space="preserve">3. </w:t>
      </w:r>
      <w:r>
        <w:rPr>
          <w:rFonts w:ascii="Calibri" w:hAnsi="Calibri"/>
          <w:b w:val="0"/>
          <w:color w:val="3A4A28"/>
          <w:sz w:val="20"/>
        </w:rPr>
        <w:t>Parent company governance risk — AMP operates as a subsidiary of Ardagh Group S.A., and parent company financial decisions (debt refinancing, intercompany transactions, capital allocation) may not prioritize public minority shareholder interests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AMP's core business — manufacturing aluminum beverage cans in physical factories — is structurally immune to AI disruption. AI cannot replace the need for physical beverage containers, and the manufacturing process requires specialized production lines, aluminum processing facilities, and global logistics infrastructure that software cannot substitute [1]. Beverage brands need physical cans; this demand is driven by consumer beverage consumption, which AI does not alter. The industry's barriers to entry include billions in capital-intensive manufacturing equipment, customer qualification processes, and proximity-to-customer logistics. AI may increase demand for packaged beverages through AI-driven supply chain optimization and personalized marketing by beverage companies [2]. AI Opportunity (0/1): No AI revenue or AI-powered products. AMP has not disclosed AI-driven operational efficiencies or revenue streams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Ardagh Metal Packaging Q2 2026 Earnings Release — Revenue $1.71B (+18% YoY), Adjusted EBITDA $240M (+14%), Raised FY2026 EBITDA Guidance $775M-$790M, European Outperformance, July 2026</w:t>
      </w:r>
    </w:p>
    <w:p>
      <w:pPr>
        <w:spacing w:before="20" w:after="20"/>
        <w:ind w:left="170"/>
      </w:pPr>
      <w:r>
        <w:rPr>
          <w:rFonts w:ascii="Calibri" w:hAnsi="Calibri"/>
          <w:b/>
          <w:color w:val="4A6B25"/>
          <w:sz w:val="15"/>
        </w:rPr>
        <w:t xml:space="preserve">2. </w:t>
      </w:r>
      <w:r>
        <w:rPr>
          <w:rFonts w:ascii="Calibri" w:hAnsi="Calibri"/>
          <w:b w:val="0"/>
          <w:color w:val="3A4A28"/>
          <w:sz w:val="17"/>
        </w:rPr>
        <w:t>Ardagh Metal Packaging Leadership, Culture, and Innovation — CEO Oliver Graham, Glassdoor Reviews (81% Recommend, 3.7/5 Culture), Core Values, Innovation Focus on Lightweighting/Sustainability,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Ardagh Metal Packaging 2024 Sustainability Report, SBTi-Approved Targets, UN Global Compact Signatory, ESG Risk Management Framework,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AMBP Financial Data: Price $4.63, Forward P/E 15.2, Negative Book Equity, Profit Margin 0.68%, Dividend Yield 8.64%, Avg Volume 2.43M,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