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AMCR</w:t>
      </w:r>
      <w:r>
        <w:rPr>
          <w:rFonts w:ascii="Calibri" w:hAnsi="Calibri"/>
          <w:b/>
          <w:color w:val="1A2010"/>
          <w:sz w:val="40"/>
        </w:rPr>
        <w:t xml:space="preserve">  Amcor plc</w:t>
      </w:r>
    </w:p>
    <w:p>
      <w:pPr>
        <w:spacing w:after="120"/>
      </w:pPr>
      <w:r>
        <w:rPr>
          <w:rFonts w:ascii="Calibri" w:hAnsi="Calibri"/>
          <w:b/>
          <w:color w:val="6E8450"/>
          <w:sz w:val="18"/>
        </w:rPr>
        <w:t>DIVIDEND SLEEVE · 2026-10-13 · Inspire: 69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Packaging &amp; Containers · NYSE · Australia</w:t>
      </w:r>
    </w:p>
    <w:p>
      <w:pPr>
        <w:spacing w:after="80"/>
      </w:pPr>
      <w:r>
        <w:rPr>
          <w:rFonts w:ascii="Calibri" w:hAnsi="Calibri"/>
          <w:b w:val="0"/>
          <w:color w:val="3A4A28"/>
          <w:sz w:val="20"/>
        </w:rPr>
        <w:t>Amcor plc is the global leader in responsible packaging solutions, operating across flexible packaging, rigid containers, and specialty cartons for food, beverage, healthcare, personal care, and industrial end markets. Following the $8.4B all-stock acquisition of Berry Global completed in April 2025, Amcor operates approximately 400 facilities with 75,000 employees across ~140 countries. FY2026 revenue reached $23.5B (+57% YoY, acquisition-driven) with adjusted EPS of $2.39 (+48.8%). Berry synergies of $285M were 10% ahead of initial targets, with $650M total identified. Incorporated in Australia and dual-listed on NYSE and ASX.</w:t>
      </w:r>
    </w:p>
    <w:p>
      <w:r>
        <w:rPr>
          <w:rFonts w:ascii="Calibri" w:hAnsi="Calibri"/>
          <w:b/>
          <w:color w:val="6E8450"/>
          <w:sz w:val="18"/>
        </w:rPr>
        <w:t>75,000 Employees · https://www.amcor.com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Amcor's most significant strategic move was the $8.4B Berry Global acquisition (April 2025), which doubled revenue to $23.5B and created the world's largest packaging company [1]. While transformative in scale, this was a consolidation play rather than product innovation. Packaging innovation remains incremental — recyclable mono-material pouches, lightweight containers, and post-consumer recycled content represent evolutionary improvements [3]. Q4 FY2026 showed organic volume growth turning modestly positive for the first time, with 200bps sequential improvement across food service, pet care, and protein categories [1]. AI Deployment (0/2): No AI-driven products or AI-powered operational results publicly reported. Internal automation exists but does not constitute AI deployment in the scoring sense. Market Share (2/2): The Berry combination created the undisputed global leader in packaging. Amcor holds #1 or #2 positions in flexible packaging, healthcare packaging, and rigid containers across most major geographies [1][2]. Combined revenue of $23.5B significantly exceeds peers like Sealed Air (~$5.5B) and Sonoco (~$7B). Product Pipeline (1/2): 10 innovation centers with 1,500 R&amp;D professionals and over 7,000 patents [2]. Active development includes fully recyclable flexible packaging, high-barrier mono-material films, and circular economy solutions. Commercially relevant but incremental. R&amp;D Intensity (1/1): Combined R&amp;D spend of ~$180M annually with 1,500 dedicated professionals across 10 innovation centers is above average for the packaging industry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Amcor's stated purpose is to innovate packaging that is 'increasingly lighter weight, recyclable, and reusable' — a clear and tangible mission identifying both the what and the why [3]. However, it reads more as an operational objective than a deeply transformative vision. Packaging sustainability is genuine but does not distinguish Amcor from peers making similar pledges. Community Impact (1/2): MSCI AA ESG rating, one of the highest in packaging [3]. FTSE4Good inclusion, CDP Climate Change A-, EcoVadis Gold rating. Committed to making all packaging recyclable or reusable, invested in GHG reduction and clean energy. Meaningful but standard for a major packaging company under regulatory and customer pressure. Employee Retention (1/2): 75,000 employees across ~140 countries. CEO Peter Konieczny was promoted internally from Interim CEO (April 2024) to permanent CEO (September 2024), demonstrating leadership continuity [4]. Longtime executive Fred Stephan retiring with advisor transition suggests orderly succession planning. Ryan Yost appointed as Division President for Global Flexible Packaging Solutions [4]. However, no specific retention or turnover metrics are publicly available. Insider Buying (0/2): No evidence of notable insider buying by CEO Konieczny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FY2026 delivered revenue of $23.5B, adjusted EPS of $2.39 (+48.8%), and adjusted EBIT margin of 12.3% [1]. D/E of 128.3% scores 0.75 (1x weight) — elevated post-Berry but improving. ROE of 9.40% scores 0.63 (1x weight), suppressed by Berry goodwill. Revenue growth of 25.9% YoY scores 1.0 (1x weight), though entirely acquisition-driven with organic volumes flat [1]. Forward P/E of 9.59 is deeply discounted (score 1.0, 1x weight), and the stock's decline from $48 to $42 has pushed dividend yield to 6.25% [2]. Profit margin of 4.71% scores only 0.24 (1x weight), depressed by GAAP merger charges against adjusted EBIT margin of 12.3%. The dividend profile is mixed: GAAP payout ratio of 109% scores 0.0 (1x weight), consecutive years paid of 6 scores 0.6 (2x weight), consecutive years growth of 6 scores 0.6 (1x weight), and 5yr dividend growth CAGR of 2.04% scores 0.34 (2x weight) — all below Dividend sleeve targets [2]. Management guided double-digit adjusted EPS growth for CY2027, which should normalize the payout ratio. Liquidity floor: $41.58 x 3,527,345 = $146.7M, well above $1M minimum.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Amcor's century-long heritage in packaging (founded 1926) and the transformative Berry Global acquisition demonstrate a company willing to make bold moves to secure long-term relevance. Berry synergies of $285M in FY2026 exceeded initial targets by 10%, with $650M total identified, validating the strategic courage of the deal [1]. However, the packaging industry is inherently finite-game oriented — driven by cost competition, procurement cycles, and volume-based contracts rather than mission-driven innovation. CEO Konieczny's focus on safety, sustainability, and execution reflects solid operational leadership but not the cause-driven vision that characterizes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Amcor's sustainability commitment — making all packaging recyclable or reusable — is genuine and important, but functions more as a regulatory and customer-driven imperative than a deeply held organizational purpose [3]. Every major packaging company makes similar pledges. The cause does not clearly pass the 'would you sacrifice short-term profits for this?' test — Amcor's primary strategic moves (Berry acquisition, $650M synergy targets) are driven by scale economics rather than sustainability advancement. 100 years of continuous packaging operations demonstrates endurance but not necessarily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Amcor's 75,000-employee workforce spans ~140 countries across 400 facilities, requiring decentralized trust [2]. CEO Konieczny was promoted internally, demonstrating leadership continuity, and the orderly retirement transition of longtime executive Fred Stephan with Ryan Yost's appointment shows succession planning [4]. However, the Berry integration — combining two major organizations — creates uncertainty and role redundancies. No specific satisfaction or retention data publicly available to differentiate from industry average.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Amcor operates in a competitive packaging landscape alongside Sealed Air, Sonoco, Crown Holdings, and Ball Corporation, demonstrating a learning-oriented competitive mindset [1]. The Berry Global acquisition was framed as a capability combination to better serve customers rather than eliminate a rival. Management's focus on $650M in synergies reflects operational self-improvement rather than zero-sum competitive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$8.4B Berry Global acquisition fundamentally transformed Amcor's scale — doubling revenue to $23.5B, adding rigid packaging capabilities, and expanding to 400 facilities in ~140 countries [1][2]. This represents genuine strategic flexibility and willingness to reshape the company. However, the transformation was additive (more of the same category) rather than truly existential — Amcor remains a packaging company serving the same end markets with the same fundamental products.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Berry acquisition required genuine courage — an $8.4B all-stock deal that created ~$16.8B in combined debt [1]. CEO Konieczny committed to $650M in synergies and delivered $285M in FY2026, 10% ahead of initial targets, demonstrating execution credibility [1]. Management's willingness to accept near-term margin compression (profit margin falling to 3.3% before recovering to 4.7%) in pursuit of long-term integration benefits shows willingness to sacrifice short-term optics. However, packaging industry consolidation was strategically obvious, and Berry was the most logical target.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Amcor at 9.59x forward earnings with a 6.25% dividend yield offers deep value in the newly consolidated global packaging leader, now with a full fiscal year of Berry integration results to validate execution [2]. FY2026 delivered revenue of $23.5B, adjusted EPS of $2.39 (+48.8%), and Berry synergies of $285M — 10% ahead of initial targets — with $650M total identified [1]. Adjusted EBIT margin expanded 180bps to 12.3%, and management guided adjusted EPS of $1.80-$1.90 for H1 FY2027 with double-digit EPS growth for CY2027 [1]. FCF is expected to reach ~$2.5B over the next 12 months as integration costs normalize. The packaging business is structurally resilient — essential consumer and healthcare packaging demand is non-discretionary and AI-proof — while the AA MSCI ESG rating and Inspire Impact Score of 69 (ALIGNED) provide strong faith-alignment credentials [3].</w:t>
      </w:r>
    </w:p>
    <w:p>
      <w:pPr>
        <w:spacing w:after="120"/>
      </w:pPr>
      <w:r>
        <w:rPr>
          <w:rFonts w:ascii="Calibri" w:hAnsi="Calibri"/>
          <w:b w:val="0"/>
          <w:color w:val="3A4A28"/>
          <w:sz w:val="20"/>
        </w:rPr>
        <w:t>The bear case centers on balance sheet leverage and organic growth quality. D/E of 128% remains elevated post-Berry, and leverage targeting ~3x by year-end limits flexibility if macro conditions deteriorate [5]. The 109% GAAP payout ratio still exceeds 100% — while double-digit EPS growth in CY2027 should bring it below 100%, any sustained earnings miss could force a dividend cut devastating to the income-oriented shareholder base [1]. Organic volume growth is effectively flat, and Morningstar expects flat sales and EBIT margins in FY2027 due to weak economic conditions. ROE of 9.40% remains well below the 15% target, suppressed by Berry goodwill. The stock's 13.7% decline from $48 to $42 since August 2026 reflects market concern about integration execution and macro headwinds. The packaging industry faces long-term headwinds from sustainability regulations mandating costly material transitions, and concentrated CPG customer bases exert pricing pressure. The 5-year dividend growth CAGR of only 2.04% significantly lags inflation, and mass-balance recycled-content claims face regulatory and reputational risk as a California lawsuit against ExxonMobil challenged the ISCC scheme as misleading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Berry synergy realization accelerating beyond $650M target — FY2026 delivered $285M at 10% above initial expectations, and CY2027 guidance commits to double-digit adjusted EPS growth backed by continued synergy capture [1]</w:t>
      </w:r>
    </w:p>
    <w:p>
      <w:pPr>
        <w:spacing w:before="40" w:after="40"/>
        <w:ind w:left="283"/>
      </w:pPr>
      <w:r>
        <w:rPr>
          <w:rFonts w:ascii="Calibri" w:hAnsi="Calibri"/>
          <w:b/>
          <w:color w:val="4A6B25"/>
          <w:sz w:val="20"/>
        </w:rPr>
        <w:t xml:space="preserve">2. </w:t>
      </w:r>
      <w:r>
        <w:rPr>
          <w:rFonts w:ascii="Calibri" w:hAnsi="Calibri"/>
          <w:b w:val="0"/>
          <w:color w:val="3A4A28"/>
          <w:sz w:val="20"/>
        </w:rPr>
        <w:t>Payout ratio normalization below 100% as EPS grows double-digits in CY2027 would de-risk the 6.25% dividend yield and potentially unlock dividend growth resumption, rerating the stock toward defensive income peers [1]</w:t>
      </w:r>
    </w:p>
    <w:p>
      <w:pPr>
        <w:spacing w:before="40" w:after="40"/>
        <w:ind w:left="283"/>
      </w:pPr>
      <w:r>
        <w:rPr>
          <w:rFonts w:ascii="Calibri" w:hAnsi="Calibri"/>
          <w:b/>
          <w:color w:val="4A6B25"/>
          <w:sz w:val="20"/>
        </w:rPr>
        <w:t xml:space="preserve">3. </w:t>
      </w:r>
      <w:r>
        <w:rPr>
          <w:rFonts w:ascii="Calibri" w:hAnsi="Calibri"/>
          <w:b w:val="0"/>
          <w:color w:val="3A4A28"/>
          <w:sz w:val="20"/>
        </w:rPr>
        <w:t>Volume growth inflection — Q4 FY2026 organic volumes turned modestly positive for the first time, improving 200bps sequentially, with broad-based momentum across food service, pet care, and protein categories suggesting stabilizing end-market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128% remains elevated post-Berry — while improved from 144%, total debt creates significant leverage risk if synergy execution falters or a recession reduces packaging volumes, limiting flexibility for defensive measures or dividend protection [5]</w:t>
      </w:r>
    </w:p>
    <w:p>
      <w:pPr>
        <w:spacing w:before="40" w:after="40"/>
        <w:ind w:left="283"/>
      </w:pPr>
      <w:r>
        <w:rPr>
          <w:rFonts w:ascii="Calibri" w:hAnsi="Calibri"/>
          <w:b/>
          <w:color w:val="4A6B25"/>
          <w:sz w:val="20"/>
        </w:rPr>
        <w:t xml:space="preserve">2. </w:t>
      </w:r>
      <w:r>
        <w:rPr>
          <w:rFonts w:ascii="Calibri" w:hAnsi="Calibri"/>
          <w:b w:val="0"/>
          <w:color w:val="3A4A28"/>
          <w:sz w:val="20"/>
        </w:rPr>
        <w:t>GAAP payout ratio of 109% remains above 100%; any sustained miss on CY2027 double-digit EPS growth guidance could force a dividend cut, undermining the income thesis that supports the current valuation at 9.59x forward earnings [1][2]</w:t>
      </w:r>
    </w:p>
    <w:p>
      <w:pPr>
        <w:spacing w:before="40" w:after="40"/>
        <w:ind w:left="283"/>
      </w:pPr>
      <w:r>
        <w:rPr>
          <w:rFonts w:ascii="Calibri" w:hAnsi="Calibri"/>
          <w:b/>
          <w:color w:val="4A6B25"/>
          <w:sz w:val="20"/>
        </w:rPr>
        <w:t xml:space="preserve">3. </w:t>
      </w:r>
      <w:r>
        <w:rPr>
          <w:rFonts w:ascii="Calibri" w:hAnsi="Calibri"/>
          <w:b w:val="0"/>
          <w:color w:val="3A4A28"/>
          <w:sz w:val="20"/>
        </w:rPr>
        <w:t>Organic revenue growth is effectively flat despite 57% reported growth — the Berry acquisition masks underlying low-single-digit organic dynamics, and the packaging industry faces secular headwinds from sustainability-mandated material transitions and concentrated CPG customer pricing pressure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Amcor's core business — manufacturing physical packaging products including flexible pouches, rigid containers, bottles, closures, and specialty cartons — is fundamentally immune to AI substitution [1]. AI cannot replace a pharmaceutical blister pack, a food-grade flexible pouch, or a beverage bottle. The company's advantages are rooted in physical-world assets: 400 manufacturing facilities, deep customer co-development relationships, regulatory-compliant processes (particularly in healthcare packaging), and global supply chain scale [2]. These moats are structural and cannot be replicated by software. The primary AI-adjacent risk is that AI-powered procurement optimization by large CPG customers could increase pricing pressure, but Amcor's scale and co-development model mitigate this. AI-driven e-commerce growth is a net positive for packaging demand. AI Opportunity (0/1): Amcor does not sell AI products or generate AI-derived revenue. AI may improve internal manufacturing efficiency and supply chain optimization over time, but no quantifiable AI-driven improvements have been publicly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Amcor Q4 FY2026 and Full-Year Earnings — Revenue $23.5B (+57%), Adjusted EPS $2.39 (+48.8%), Q4 EPS $1.23 (+23%), Berry Synergies $285M (10% Above Target), EBIT Margin 12.3%, Volume Growth Positive, August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StockAnalysis — AMCR Key Statistics: Stock Price $41.58, Forward P/E 9.59, PEG 0.21, P/E 17.47, Market Cap ~$19.2B, Dividend Yield 6.25%, Avg Volume 3.5M,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Amcor Sustainability and ESG — MSCI AA Rating, FTSE4Good, CDP A-, EcoVadis Gold, Net Zero Targets, Recyclable Packaging Commitment, 2025-2026</w:t>
      </w:r>
    </w:p>
    <w:p>
      <w:pPr>
        <w:spacing w:before="20" w:after="20"/>
        <w:ind w:left="170"/>
      </w:pPr>
      <w:r>
        <w:rPr>
          <w:rFonts w:ascii="Calibri" w:hAnsi="Calibri"/>
          <w:b/>
          <w:color w:val="4A6B25"/>
          <w:sz w:val="15"/>
        </w:rPr>
        <w:t xml:space="preserve">4. </w:t>
      </w:r>
      <w:r>
        <w:rPr>
          <w:rFonts w:ascii="Calibri" w:hAnsi="Calibri"/>
          <w:b w:val="0"/>
          <w:color w:val="3A4A28"/>
          <w:sz w:val="17"/>
        </w:rPr>
        <w:t>Amcor Leadership and Culture — CEO Peter Konieczny Appointment, Ryan Yost Division President, Fred Stephan Retirement, Innovation Centers, 2024-2026</w:t>
      </w:r>
    </w:p>
    <w:p>
      <w:pPr>
        <w:spacing w:before="20" w:after="20"/>
        <w:ind w:left="170"/>
      </w:pPr>
      <w:r>
        <w:rPr>
          <w:rFonts w:ascii="Calibri" w:hAnsi="Calibri"/>
          <w:b/>
          <w:color w:val="4A6B25"/>
          <w:sz w:val="15"/>
        </w:rPr>
        <w:t xml:space="preserve">5. </w:t>
      </w:r>
      <w:r>
        <w:rPr>
          <w:rFonts w:ascii="Calibri" w:hAnsi="Calibri"/>
          <w:b w:val="0"/>
          <w:color w:val="3A4A28"/>
          <w:sz w:val="17"/>
        </w:rPr>
        <w:t>Amcor Financial Ratios — D/E 128%, ROE 9.40%, Profit Margin 4.7%, Payout Ratio 109%,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