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AMGN</w:t>
      </w:r>
      <w:r>
        <w:rPr>
          <w:rFonts w:ascii="Calibri" w:hAnsi="Calibri"/>
          <w:b/>
          <w:color w:val="1A2010"/>
          <w:sz w:val="40"/>
        </w:rPr>
        <w:t xml:space="preserve">  Amgen Inc.</w:t>
      </w:r>
    </w:p>
    <w:p>
      <w:pPr>
        <w:spacing w:after="120"/>
      </w:pPr>
      <w:r>
        <w:rPr>
          <w:rFonts w:ascii="Calibri" w:hAnsi="Calibri"/>
          <w:b/>
          <w:color w:val="6E8450"/>
          <w:sz w:val="18"/>
        </w:rPr>
        <w:t>DIVIDEND SLEEVE · 2026-09-04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Amgen Inc. is the world's largest independent biotechnology company by revenue, discovering, developing, manufacturing, and delivering innovative human therapeutics across oncology, cardiovascular, bone health, inflammation, and rare diseases. Portfolio includes 17 products annualizing above $1B, anchored by Repatha, EVENITY, TEZSPIRE, TEPEZZA, BLINCYTO, and IMDELLTRA. Pipeline includes MariTide (obesity) in 9 global Phase III studies. Q2 2026 revenue of $10.1B (+10% YoY) with raised full-year guidance of $38.2-39.4B. Market cap approximately $240B.</w:t>
      </w:r>
    </w:p>
    <w:p>
      <w:r>
        <w:rPr>
          <w:rFonts w:ascii="Calibri" w:hAnsi="Calibri"/>
          <w:b/>
          <w:color w:val="6E8450"/>
          <w:sz w:val="18"/>
        </w:rPr>
        <w:t>31,500 Employees · https://www.amgen.com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Twenty-two products achieved double-digit sales growth in Q2 2026, and 17 products now annualize above $1B, demonstrating exceptional multi-franchise launch execution [1]. The $28B Horizon Therapeutics acquisition (2023) transformed the rare disease portfolio — TEPEZZA grew 14% to $576M and UPLIZNA surged 90% to $335M in Q2 2026 [1]. IMDELLTRA (+115% YoY to $288M) and TEZSPIRE (+42% to $486M) represent major successful launches. AI Deployment (1/2): David Reese, Amgen's first CTO, describes the current moment as a 'hinge moment' merging tech and biotech, with AI integrated across drug discovery, clinical trial optimization, and commercial operations [3]. Amgen hired an Associate Director for Finance Technology AI Data and Innovation and published an Artificial Intelligence Vision document [3]. However, no specific AI revenue or quantified cost savings publicly reported. Market Share (2/2): World's largest independent biotech by revenue ($38B+ annualized), with category leadership in cholesterol (Repatha $953M, +37%), bone health (EVENITY $714M, +38%), thyroid eye disease (TEPEZZA $576M), and oncology BiTE platform (BLINCYTO $472M, +23%) [1]. Product Pipeline (2/2): MariTide (maridebart cafraglutide) in 9 global Phase III studies targeting obesity (MARITIME-1/2), cardiovascular (MARITIME-CV), heart failure (MARITIME-HF), obstructive sleep apnea (MARITIME-OSA), plus 3 Type 2 diabetes studies planned for 2026 initiation — representing potentially the largest drug market in history at $100B+ TAM [1]. MARITIME-SWITCH directly compares MariTide against competitor therapies. R&amp;D Intensity (1/1): R&amp;D spending of approximately $5B+ annually (~13% of revenue) is top-quartile for biotech/pharma, reflecting sustained investment in therapeutic innovation through patent cliff periods.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Amgen's mission 'to serve patients' has been a genuine north star for 46 years, validated by consistent investment in rare diseases (Horizon acquisition for rare conditions with small patient populations), drug access programs for uninsured patients, and willingness to enter therapeutic areas with uncertain commercial prospects [1]. The $28B Horizon bet on rare disease was patient-need-driven, and the MARITIME-SWITCH study demonstrates confidence in offering patients better outcomes. The mission differentiates from peers who frame purpose in terms of 'innovation' rather than 'service.' Community Impact (1/2): Amgen Foundation supports science education and STEM pipeline development. Patient access programs provide medications to uninsured patients. Standard for large pharma but aligned with the patient-serving mission [4]. Employee Retention (0/2): Glassdoor reviews describe deteriorating culture with outsourcing to India, employees expected to train replacements, and leadership 'disconnected from technical realities' [3]. AI integration is displacing roles. These signals indicate eroding trust and retention risk at a company dependent on attracting world-class scientific talent. Insider Buying (0/2): No evidence of meaningful net insider buying by CEO Robert Bradway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Dividend stock on available metrics. Q2 2026 total revenues of $10.1B (+10% YoY) led to raised full-year guidance of $38.2-39.4B, with free cash flow of $3.5B (vs $1.9B prior year) and GAAP operating margin expanding 6.5 percentage points to 36.8% [1]. ROE of 91.47% and profit margin of 22.95% demonstrate world-class profitability well above targets [5]. Forward P/E of 18.94 is attractively below the 20x target. The major weakness is D/E of 490%, driven by $57.3B in total debt from the Horizon acquisition and buyback program, scoring 0 on this metric [1][5]. However, $14B cash and $3.5B quarterly FCF provide strong debt service capability. Dividend history is exemplary: 15 consecutive years of growth, 6% YoY dividend increase to $2.52/quarter in Q2 2026, payout ratio of 62.63%, and 5yr dividend growth CAGR of ~7% [1][5]. Revenue growth YoY of 10% meets the target, and 5yr CAGR of approximately 8% reflects steady Horizon-enhanced expansion. Liquidity floor easily cleared: ~2.2M shares x $444 = ~$977M daily value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Amgen presents a paradox: a company with a genuine 46-year patient-serving mission and a pattern of courageous strategic bets ($28B Horizon acquisition, 9 simultaneous MariTide Phase III studies), yet undermined by deteriorating internal culture, aggressive financial engineering ($57B debt), and employee dissatisfaction. The company plays an infinite game in R&amp;D investments and market entry decisions but a finite game in workforce management — outsourcing to India while expecting employees to train replacements is the antithesis of Sinek's trusting teams.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'To serve patients' has been Amgen's north star for 46 years, validated by consistent investment in rare diseases (Horizon acquisition for small patient populations), drug access programs reducing revenue to serve uninsured patients, and willingness to enter therapeutic areas with uncertain prospects [1]. The $28B Horizon bet, 9 simultaneous MariTide Phase III studies, and MARITIME-SWITCH comparing directly against competitor therapies trace back to serving patients. However, aggressive financial engineering ($57B debt, massive buybacks) and workforce outsourcing create tension, suggesting shareholder-value optimization alongside patient service.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describe deteriorating workplace culture. Employees report jobs being actively transitioned to India with workers expected to train replacements, AI displacing roles, and leadership 'disconnected from technical realities' [3]. The push for AI integration while simultaneously laying off current employees creates fear rather than trust. These signals indicate low psychological safety and organizational policies that erode Sinek's Circle of Safety. For a biotech company whose value depends entirely on attracting world-class scientific talent, this cultural deterioration is particularly concerning.</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Amgen explicitly acknowledges competitors' strengths and uses competitive pressure as motivation. The MARITIME-SWITCH Phase III study directly compares MariTide dosing against competitor obesity therapies (Novo Nordisk, Eli Lilly), demonstrating willingness to compete on merit against acknowledged leaders [1]. Management frames competition in terms of patient outcomes and scientific differentiation (monthly vs. weekly dosing, muscle preservation) rather than market share warfare. The biosimilar strategy implicitly acknowledges that competitors' original biologics set quality standards worth competing against.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Amgen has evolved significantly from origins as a single-product biotech into the world's largest independent biotech with 17+ blockbuster products. Key pivots include expansion from biologics into biosimilars (Amjevita, Riabni), the $28B Horizon acquisition expanding into rare disease, and MariTide entering the obesity market against entrenched competitors [1]. Each represents meaningful strategic evolution, but incremental rather than transformative — Amgen never abandoned a core business line or completely reinvented the company. The evolution has been additive.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Clear pattern of costly long-term bets. The $28B Horizon acquisition was transformative, significantly increasing debt but expanding therapeutic reach into rare disease [1]. Continued ~$5B annual R&amp;D investment through patent cliff periods when competitors cut spending demonstrates commitment to future capability. Entering obesity against Novo Nordisk and Eli Lilly — with 9 simultaneous Phase III MariTide studies — requires extraordinary conviction and capital deployment against uncertain returns. Discontinuing early-stage AMG 513 to concentrate resources on MariTide demonstrates willingness to choose the best path over sunk costs [1]. The 6% dividend increase while carrying $57B debt shows commitment to capital return discipline.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Amgen is navigating its patent cliff with exceptional execution — 22 products delivered double-digit growth in Q2 2026, 17 annualize above $1B, and raised full-year guidance to $38.2-39.4B revenue reflects accelerating momentum with 10% YoY growth [1]. Q2 free cash flow nearly doubled to $3.5B with GAAP operating margin expanding 6.5 points to 36.8%. At forward P/E of 18.94 with 2.27% dividend yield and 15 consecutive years of dividend growth (6% increase in Q2 2026), AMGN offers a rare combination of growth, income, and pipeline optionality in mega-cap biotech [5]. MariTide in 9 global Phase III studies targets the $100B+ obesity TAM with differentiated monthly dosing, while IMDELLTRA (+115%), UPLIZNA (+90%), and TEZSPIRE (+42%) demonstrate sustained new product launch velocity.</w:t>
      </w:r>
    </w:p>
    <w:p>
      <w:pPr>
        <w:spacing w:after="120"/>
      </w:pPr>
      <w:r>
        <w:rPr>
          <w:rFonts w:ascii="Calibri" w:hAnsi="Calibri"/>
          <w:b w:val="0"/>
          <w:color w:val="3A4A28"/>
          <w:sz w:val="20"/>
        </w:rPr>
        <w:t>The bear case centers on extreme leverage and execution risk. D/E of 490% with $57.3B total debt — driven by the $28B Horizon acquisition and buyback program — leaves limited financial flexibility if growth decelerates or credit markets tighten, though $14B cash and $3.5B quarterly FCF provide strong debt service capability [1][5]. PEG ratio of 3.65 suggests the stock at $444 is pricing in growth that may be challenging to sustain as legacy products face biosimilar competition — Prolia declined 32% in Q2 as generic erosion accelerated [1]. Glassdoor reviews describing toxic culture, outsourcing to India, and AI displacing roles threaten the innovation engine that drives long-term value — biotech companies depend on attracting and retaining top scientific talent [3]. MariTide's 20% weight loss at 52 weeks, while clinically meaningful, trails tirzepatide's 22.5% (SURMOUNT-1), making the competitive path dependent on differentiation through dosing convenience and muscle preservation. The Inspire Impact Score of -49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MariTide Phase III data readouts in 2026-2027 across 9 global studies (obesity, cardiovascular, heart failure, sleep apnea, diabetes) could validate Amgen's entry into the $100B+ obesity/GLP-1 market and drive significant re-rating [1]</w:t>
      </w:r>
    </w:p>
    <w:p>
      <w:pPr>
        <w:spacing w:before="40" w:after="40"/>
        <w:ind w:left="283"/>
      </w:pPr>
      <w:r>
        <w:rPr>
          <w:rFonts w:ascii="Calibri" w:hAnsi="Calibri"/>
          <w:b/>
          <w:color w:val="4A6B25"/>
          <w:sz w:val="20"/>
        </w:rPr>
        <w:t xml:space="preserve">2. </w:t>
      </w:r>
      <w:r>
        <w:rPr>
          <w:rFonts w:ascii="Calibri" w:hAnsi="Calibri"/>
          <w:b w:val="0"/>
          <w:color w:val="3A4A28"/>
          <w:sz w:val="20"/>
        </w:rPr>
        <w:t>Twenty-two products with double-digit growth and 17 annualizing above $1B demonstrate a diversified growth engine that can sustain revenue expansion through legacy patent expirations [1]</w:t>
      </w:r>
    </w:p>
    <w:p>
      <w:pPr>
        <w:spacing w:before="40" w:after="40"/>
        <w:ind w:left="283"/>
      </w:pPr>
      <w:r>
        <w:rPr>
          <w:rFonts w:ascii="Calibri" w:hAnsi="Calibri"/>
          <w:b/>
          <w:color w:val="4A6B25"/>
          <w:sz w:val="20"/>
        </w:rPr>
        <w:t xml:space="preserve">3. </w:t>
      </w:r>
      <w:r>
        <w:rPr>
          <w:rFonts w:ascii="Calibri" w:hAnsi="Calibri"/>
          <w:b w:val="0"/>
          <w:color w:val="3A4A28"/>
          <w:sz w:val="20"/>
        </w:rPr>
        <w:t>Free cash flow acceleration to $3.5B quarterly ($14B+ annualized) enables simultaneous debt reduction, R&amp;D investment (~$5B), and dividend growth, progressively de-leveraging the Horizon-heavy balance sheet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490% with $57.3B total debt creates refinancing risk — approximately $7-8B in annual interest expense consumes significant operating cash flow, and any credit market disruption could pressure the balance sheet [1][5]</w:t>
      </w:r>
    </w:p>
    <w:p>
      <w:pPr>
        <w:spacing w:before="40" w:after="40"/>
        <w:ind w:left="283"/>
      </w:pPr>
      <w:r>
        <w:rPr>
          <w:rFonts w:ascii="Calibri" w:hAnsi="Calibri"/>
          <w:b/>
          <w:color w:val="4A6B25"/>
          <w:sz w:val="20"/>
        </w:rPr>
        <w:t xml:space="preserve">2. </w:t>
      </w:r>
      <w:r>
        <w:rPr>
          <w:rFonts w:ascii="Calibri" w:hAnsi="Calibri"/>
          <w:b w:val="0"/>
          <w:color w:val="3A4A28"/>
          <w:sz w:val="20"/>
        </w:rPr>
        <w:t>Deteriorating employee culture with outsourcing to India and AI-driven job displacement threatens talent retention at a company whose entire value proposition depends on world-class scientific talent [3]</w:t>
      </w:r>
    </w:p>
    <w:p>
      <w:pPr>
        <w:spacing w:before="40" w:after="40"/>
        <w:ind w:left="283"/>
      </w:pPr>
      <w:r>
        <w:rPr>
          <w:rFonts w:ascii="Calibri" w:hAnsi="Calibri"/>
          <w:b/>
          <w:color w:val="4A6B25"/>
          <w:sz w:val="20"/>
        </w:rPr>
        <w:t xml:space="preserve">3. </w:t>
      </w:r>
      <w:r>
        <w:rPr>
          <w:rFonts w:ascii="Calibri" w:hAnsi="Calibri"/>
          <w:b w:val="0"/>
          <w:color w:val="3A4A28"/>
          <w:sz w:val="20"/>
        </w:rPr>
        <w:t>Prolia biosimilar competition intensifying (revenue -32% in Q2 2026) with additional legacy franchises (Enbrel, Otezla) facing increasing generic/biosimilar erosion, requiring continued new product launch velocity to offset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Biotechnology drug development requires physical wet lab research, multi-year clinical trials with actual patients, FDA regulatory approval processes, and complex biologics manufacturing — none of which can be substituted by AI [4]. Regulatory barriers (10-15 year drug development timeline, $2B+ development cost), IP protection (patent portfolios), and manufacturing complexity (biologics require specialized cell-culture facilities) create deep structural moats. However, AI is accelerating drug discovery across the industry, potentially compressing competitive advantages of institutional knowledge — peers like Recursion and Insilico Medicine use AI to reduce discovery timelines. AI could also accelerate biosimilar development against Amgen's legacy franchises. AI Opportunity (1/1): Amgen has made AI a strategic priority with a dedicated CTO role (David Reese) and AI integration across drug discovery, molecular design, clinical trial optimization, and manufacturing process control [3]. MariTide and pipeline programs benefit from AI-assisted research. While specific AI revenue is not separately reported, operational AI integration across the value chain represents meaningful productivity enhancement.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Amgen Q2 2026 Financial Results — Revenue $10.1B (+10%), GAAP EPS $4.37 (+65%), Non-GAAP EPS $6.29, FCF $3.5B, Raised FY2026 Guidance $38.2-39.4B, 22 Products Double-Digit Growth, MariTide 9 Phase III Studies, amgen.com, August 2026</w:t>
      </w:r>
    </w:p>
    <w:p>
      <w:pPr>
        <w:spacing w:before="20" w:after="20"/>
        <w:ind w:left="170"/>
      </w:pPr>
      <w:r>
        <w:rPr>
          <w:rFonts w:ascii="Calibri" w:hAnsi="Calibri"/>
          <w:b/>
          <w:color w:val="4A6B25"/>
          <w:sz w:val="15"/>
        </w:rPr>
        <w:t xml:space="preserve">2. </w:t>
      </w:r>
      <w:r>
        <w:rPr>
          <w:rFonts w:ascii="Calibri" w:hAnsi="Calibri"/>
          <w:b w:val="0"/>
          <w:color w:val="3A4A28"/>
          <w:sz w:val="17"/>
        </w:rPr>
        <w:t>Amgen Q1 2026 Financial Results — Revenue $8.6B, Key Growth Drivers +24% YoY, SEC 8-K, April 2026</w:t>
      </w:r>
    </w:p>
    <w:p>
      <w:pPr>
        <w:spacing w:before="20" w:after="20"/>
        <w:ind w:left="170"/>
      </w:pPr>
      <w:r>
        <w:rPr>
          <w:rFonts w:ascii="Calibri" w:hAnsi="Calibri"/>
          <w:b/>
          <w:color w:val="4A6B25"/>
          <w:sz w:val="15"/>
        </w:rPr>
        <w:t xml:space="preserve">3. </w:t>
      </w:r>
      <w:r>
        <w:rPr>
          <w:rFonts w:ascii="Calibri" w:hAnsi="Calibri"/>
          <w:b w:val="0"/>
          <w:color w:val="3A4A28"/>
          <w:sz w:val="17"/>
        </w:rPr>
        <w:t>Amgen AI and Leadership — CTO David Reese 'Hinge Moment,' AI Integration Across Operations, Glassdoor Culture Concerns, amgen.com/Glassdoor,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Amgen ESG and Sustainability — Corporate Sustainability Strategy, Amgen Foundation, Patient Access Programs, KnowESG Ratings,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AMGN Key Statistics: Forward P/E 18.94, ROE 91.47%, D/E 490%, Profit Margin 22.95%, Stock Price $444.12, Dividend Yield 2.27%,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