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AMH</w:t>
      </w:r>
      <w:r>
        <w:rPr>
          <w:rFonts w:ascii="Calibri" w:hAnsi="Calibri"/>
          <w:b/>
          <w:color w:val="1A2010"/>
          <w:sz w:val="40"/>
        </w:rPr>
        <w:t xml:space="preserve">  American Homes 4 Rent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2026-10-20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Residential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American Homes 4 Rent is one of the largest single-family rental REITs in the United States, owning and operating more than 61,000 homes across 22 states and 40 markets. The company both acquires existing properties and develops new build-to-rent communities through its AMH Development program. H1 2026 revenue was $942.1M (+2.8% YoY) with same-home occupancy of 96.0%, core FFO per share of $0.49 in Q2 (+5.2% YoY), and full-year 2026 core FFO guidance raised to $1.95/share midpoint.</w:t>
      </w:r>
    </w:p>
    <w:p>
      <w:r>
        <w:rPr>
          <w:rFonts w:ascii="Calibri" w:hAnsi="Calibri"/>
          <w:b/>
          <w:color w:val="6E8450"/>
          <w:sz w:val="18"/>
        </w:rPr>
        <w:t>1,598 Employees · https://www.amh.com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AMH has made one meaningful business model evolution over the past five years — expanding from a pure property acquisition model to include the AMH Development build-to-rent program, which constructs purpose-built rental communities [1]. This opened a new growth channel but is an incremental extension of the core rental business rather than a transformative pivot. AI Deployment (0/2): No evidence of AI-powered products or quantifiable AI-driven cost savings. CTO Philip Irby discussed an AI-driven resident-experience platform in 2023, but no measurable revenue gains or cost savings have been publicly reported [3]. Market Share (1/2): AMH operates one of the two largest single-family rental portfolios in the U.S. (61,000+ homes), alongside Invitation Homes (~84,000 homes). The company is a meaningful player in the SFR segment, but the overall market remains highly fragmented with institutional owners controlling a small percentage of total single-family rental inventory [1]. Product Pipeline (0/2): No specific next-generation products or services with named launch dates. Growth is driven by incremental development pipeline and property acquisitions rather than discrete product innovation. R&amp;D Intensity (0/1): As a REIT, AMH does not invest meaningfully in research and development; capital expenditure is directed toward property acquisition, development, and maintenance.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AMH's purpose centers on providing quality single-family rental housing to American families. This is a clear and socially relevant mission — housing is a fundamental need — but it is not distinctive among residential REITs; Invitation Homes and other SFR operators articulate nearly identical missions [1]. Community Impact (0/2): While AMH publishes sustainability reports and Van Lanschot Kempen noted improvements in renewable energy and climate risk analysis [4], the company faced criticism from activist investor Land &amp; Buildings in 2022 for lagging on solar adoption and environmental home standards, and no specific dollar amounts for charitable investment programs were identified. Employee Retention (0/2): AMH earned Great Place to Work accreditation in 2023 [3], but executive team was rated in the bottom 35% of similarly-sized companies on Comparably, and with only 1,598 employees managing 61,000+ homes, the operational model relies heavily on contracted labor. Insider Buying (0/2): No evidence of meaningful net insider buying by CEO Bryan Smith or other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 on available metrics. AMH's balance sheet is well-managed with D/E of 68.9%, just below the 70% target (score 1.0) [5]. Profit margin of 25.5% exceeds the 20% target (score 1.0), and revenue grew 2.8% YoY (score 0.76) with an estimated 5yr CAGR of ~5.8% (score 0.72) [1][2]. The primary drags are REIT-structural: forward P/E of 45.7x (score 0.36) reflects real estate valuation norms, and the ~99% GAAP payout ratio (score 0.02) is mandated by REIT distribution requirements [5]. ROE of 7.1% (score 0.47) is typical for asset-heavy REITs. Dividend history is strong: 12 consecutive years paid (score 1.0, 2x weight) with 6 years of consecutive growth (score 0.60) and an estimated 5yr dividend growth CAGR of ~15% (score 1.0, 2x weight). Daily dollar volume of $79.2M provides ample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AMH operates as a competent but finite-minded REIT focused on financial optimization and portfolio growth rather than a transformative vision for the future of housing. Founded in 2012 by billionaire B. Wayne Hughes to capitalize on the post-financial-crisis housing opportunity, the company's DNA is financial engineering and real estate arbitrage rather than purpose-driven housing innovation. The CEO succession from founder David Singelyn to Bryan Smith (January 2025) was orderly, but no evidence suggests a shift toward more infinite-minded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AMH's stated purpose around providing quality rental housing exists but reads as a business description rather than a Just Cause in Sinek's framework. The company was founded explicitly to exploit the post-2008 housing arbitrage opportunity — buying foreclosed homes at distressed prices and renting them — which is a finite, opportunistic origin [1]. While the mission of housing provision serves a genuine social need, it is not articulated as a vision of a future state so appealing that people sacrifice to advance it. Strategic decisions are driven by financial returns (cap rates, NOI growth, development yields) rather than a deeper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Evidence suggests a below-average organizational trust environment. The executive team was rated in the bottom 35% of similarly-sized companies on Comparably. With only 1,598 employees managing 61,000+ homes, the operational model relies heavily on contracted labor and property-level staff who may have limited connection to the corporate mission [1]. AMH earned Great Place to Work accreditation in 2023 [3], but mixed employee feedback about leadership direction suggests this is not consistently maintained across the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that AMH frames its competitive relationship with Invitation Homes (the primary SFR REIT peer) in terms of learning and self-improvement. Industry commentary focuses on market share, portfolio size comparisons, and same-store NOI growth metrics — finite competitive framing focused on measurable superiority rather than mutual 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AMH has evolved from a pure property acquisition model to include the AMH Development build-to-rent program, representing meaningful strategic evolution. The shift to developing purpose-built rental communities rather than only acquiring existing homes adapts the business model to changing market conditions (limited distressed housing inventory, higher acquisition costs) [1][2]. However, this is incremental evolution within the same industry rather than a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AMH's expansion into the capital-intensive build-to-rent development program represents a meaningful long-term investment that temporarily compresses returns to build future capabilities. The company continued investing in development during periods of rising construction costs and interest rates from 2022-2024, demonstrating willingness to sacrifice near-term margins for long-term portfolio quality [1][2]. However, no evidence of truly costly strategic decisions that sacrificed significant short-term performance for long-term positioning.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AMH at $30.89 with a $12.7B market cap offers a 4.0% dividend yield backed by 61,000+ physical single-family homes across 22 states with 96.0% occupancy [1]. The single-family rental market benefits from structural tailwinds: elevated mortgage rates making homeownership unaffordable, millennial family formation driving demand for suburban rentals, and limited new single-family housing supply. H1 2026 revenue grew 2.8% to $942.1M with core FFO per share of $0.49 in Q2 (+5.2% YoY) and management raised full-year guidance to $1.95 midpoint [1][2]. The build-to-rent development program creates higher-quality, lower-maintenance homes at attractive yields versus acquisition. Conservative D/E of 68.9% provides balance sheet safety, and the Inspire Impact Score of 54 (ALIGNED) with zero negative attributions makes AMH suitable for faith-based income portfolios.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growth deceleration, REIT-specific valuation challenges, and leadership concerns. Revenue growth of only 2.8% YoY and same-home rent growth decelerating in H2 2026 with flat new-lease rate growth suggest AMH is maturing — the explosive post-pandemic SFR demand has normalized [2]. Forward P/E of 45.7x (GAAP) appears expensive; the more relevant FFO multiple of ~17.5x is fair but not cheap for a low-growth REIT. The GAAP payout ratio of ~99% exceeds sustainability on an earnings basis, though on an FFO basis the payout is sustainable at roughly 68% of core FFO [1][5]. The executive team's bottom-35% Comparably rating and the 2022 Land &amp; Buildings activist criticism of ESG oversight raise governance questions [4]. Rising property insurance costs and maintenance expenses in aging Sun Belt markets could compress margins, and markets like Atlanta and Tampa show weakening rental fundamentals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Build-to-rent development program delivering higher-quality homes at attractive yields (6-7% stabilized yields vs. 4-5% acquisition cap rates), creating a pipeline of premium rental communities that could accelerate FFO growth beyond the current 5% trajectory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Mortgage rate persistence above 6% extending the housing affordability crisis, driving continued demand for single-family rentals from families who would traditionally be homebuyers — each year of elevated rates expands the addressable tenant pool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Full-year 2026 core FFO guidance raised to $1.95/share midpoint, with potential for further upside if blended lease spreads accelerate as seasonal demand peaks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growth deceleration to 2.8% YoY with flat new-lease rate growth expected in H2 2026, and weakening fundamentals in key markets like Atlanta and Tampa suggest the post-pandemic SFR boom has normalized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Leadership and governance concerns — executive team rated in bottom 35% of peers on Comparably, 2022 activist criticism of ESG oversight from Land &amp; Buildings, and CEO transition from Singelyn to Bryan Smith (January 2025) introduces execution uncertainty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Rising property insurance and maintenance costs in Sun Belt markets could compress NOI margins, particularly as climate-related risks increase frequency and severity of weather events in AMH's largest geographies (Florida, Texas, Arizona)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 — IMMUNE): AMH's core business — owning, operating, and renting 61,000+ physical single-family homes — is structurally immune to AI disruption. AI cannot replace physical housing, and the business involves deeply tangible operations: property acquisition, construction, maintenance, and tenant management across 22 states [1]. Regulatory requirements (local housing codes, zoning, tenant protections) and physical infrastructure create structural barriers that software cannot displace. AI may actually increase demand for single-family rentals as remote work enabled by AI tools allows more geographically flexible suburban housing choices. No analysts have flagged AI as a disruption risk for residential REITs. AI Opportunity (0/1): AMH does not generate revenue from AI products or services. CTO Philip Irby discussed an AI-driven resident-experience platform in 2023 [3], but no quantifiable AI revenue or specific AI-driven operational savings have been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AMH H1 2026 Form 8-K SEC Filing — Revenue $942.1M (+2.8% YoY), 61,000+ homes, Q2 core FFO $0.49/share (+5.2%), occupancy 96.0%, SEC.gov,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AMH Q2 2026 Earnings Summary — Core FFO $0.49 vs. $0.47 estimate, guidance raised to $1.95 midpoint, same-home deceleration expected H2, flat new-lease rate growth in Atlanta/Tampa, OpenCapital/Benzinga,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AMH Leadership &amp; Culture — Bryan Smith succeeded David Singelyn as CEO January 2025, Great Place to Work accreditation 2023, CTO Philip Irby AI platform discussion, TipRanks/Technology Magazine, 2023-2025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AMH ESG Engagement — Sustainalytics low ESG risk rating, Van Lanschot Kempen engagement on renewable energy and climate risk, Land &amp; Buildings 2022 activism on environmental standards, SEC/Sustainalytics, 2022-2026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AMH key statistics: $30.89 price, D/E 68.9%, ROE 7.1%, profit margin 25.5%, forward P/E 45.7x, avg volume 2.56M, dividend yield 4.03%,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