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AMKR</w:t>
      </w:r>
      <w:r>
        <w:rPr>
          <w:rFonts w:ascii="Calibri" w:hAnsi="Calibri"/>
          <w:b/>
          <w:color w:val="1A2010"/>
          <w:sz w:val="40"/>
        </w:rPr>
        <w:t xml:space="preserve">  Amkor Technology, Inc.</w:t>
      </w:r>
    </w:p>
    <w:p>
      <w:pPr>
        <w:spacing w:after="120"/>
      </w:pPr>
      <w:r>
        <w:rPr>
          <w:rFonts w:ascii="Calibri" w:hAnsi="Calibri"/>
          <w:b/>
          <w:color w:val="6E8450"/>
          <w:sz w:val="18"/>
        </w:rPr>
        <w:t>GROWTH SLEEVE · 2026-10-20 · Inspire: 64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 Equipment &amp; Materials · NASDAQ · United States</w:t>
      </w:r>
    </w:p>
    <w:p>
      <w:pPr>
        <w:spacing w:after="80"/>
      </w:pPr>
      <w:r>
        <w:rPr>
          <w:rFonts w:ascii="Calibri" w:hAnsi="Calibri"/>
          <w:b w:val="0"/>
          <w:color w:val="3A4A28"/>
          <w:sz w:val="20"/>
        </w:rPr>
        <w:t>Amkor Technology is one of the world's largest outsourced semiconductor assembly and test (OSAT) providers, operating advanced packaging and test facilities across South Korea, Vietnam, Japan, the Philippines, Portugal, and China. The company specializes in advanced packaging technologies including high-density fan-out (HDFO), 2.5D, system-in-package (SiP), and flip-chip, serving semiconductor companies across computing, communications, automotive, and industrial end markets. Q2 2026 revenue reached a record $1.9B (+26% YoY) with Q3 2026 guidance of $1.95-$2.05B, and CEO Kevin Engel assumed leadership in January 2026.</w:t>
      </w:r>
    </w:p>
    <w:p>
      <w:r>
        <w:rPr>
          <w:rFonts w:ascii="Calibri" w:hAnsi="Calibri"/>
          <w:b/>
          <w:color w:val="6E8450"/>
          <w:sz w:val="18"/>
        </w:rPr>
        <w:t>30,800 Employees · https://amkor.com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Amkor has executed a significant evolution from traditional wire-bond packaging to cutting-edge advanced packaging technologies (2.5D, HDFO, SiP) that are essential for AI accelerator chips, with the computing/AI segment reaching record revenue in Q2 2026 and strategic multi-year partnerships secured with TSMC and NVIDIA [1][2]. AI Deployment (1/2): While Amkor does not sell AI products directly, its advanced packaging is essential infrastructure for AI chips — the company packages NVIDIA GPUs, AMD accelerators, and other AI processors, with computing revenue reaching records driven by AI workload growth and Q3 2026 computing segment expected to accelerate ~30% sequentially [1]. Market Share (2/2): Amkor is one of the top two OSAT providers globally alongside ASE Group, with the 10-year TSMC partnership and NVIDIA collaboration reinforcing technology leadership in the highest-value advanced packaging segments; scale across 30,800 employees and six countries creates meaningful competitive barriers [2]. Product Pipeline (2/2): Specific technology roadmap with HDFO, 2.5D, and SiP platforms advancing on defined timelines, with the TSMC agreement and NVIDIA collaboration providing exceptional multi-year revenue visibility; capex guidance of $2.5-$3.0B in 2026 funds facility expansion for next-generation packaging [1][2]. R&amp;D Intensity (1/1): Capex of $2.5-$3.0B against $7.5B TTM revenue represents 33-40% capital intensity, extraordinary investment in advanced packaging technology well above the semiconductor industry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Amkor's mission centers on being the world's technology packaging company and providing semiconductor packaging solutions — a functional business description interchangeable with any OSAT competitor. Chairman Susan Kim credited outgoing CEO Rutten with focusing Amkor on advanced packaging leadership [3], but this is a strategy, not a Just Cause. Community Impact (1/2): Amkor has SBTi-approved science-based net-zero targets (55% GHG reduction by 2033, net-zero by 2050), adherence to Responsible Business Alliance Code of Conduct, and published corporate responsibility reports with specific environmental commitments including 9% Scope 1/2 emissions intensity reduction [4]. Employee Retention (0/2): Glassdoor rating of 3.3/5 with work-life balance at 2.7/5 and reports of challenging leadership culture at some manufacturing locations; no specific retention metrics distinguish Amkor from industry norms for OSAT companies [3]. Insider Buying (0/2): The Kim family maintains significant ownership through executive chairman positions, but no evidence of discretionary net insider buying was identified beyond existing family stakes.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Amkor's valuation is highly compelling: Forward PEG of 0.76 (below the 1.0 target, scoring 1.0 with 2x weight), Forward P/E of 14.97 (well below the 20 target, scoring 1.0), and conservative D/E of 57.1% (below the 70% target, scoring 1.0) [5]. Revenue growth of 25.6% YoY significantly exceeds the 10% target (score 1.0), driven by record Q2 2026 revenue of $1.9B with Q3 guided to $1.95-2.05B [1]. ROE of 12.5% scores 0.83 against the 15% target with 2x weight. The 5-year revenue CAGR of approximately 6.0% (score 0.73, 2x weight) reflects semiconductor cyclicality with the 2022-2024 downturn depressing the multi-year average before the current AI-driven recovery [1]. The primary drag remains thin profit margin of 7.45% (score 0.37) characteristic of capital-intensive OSAT operations with customer bargaining power [5]. Daily dollar volume of $193M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Amkor operates as a competent but finite-minded semiconductor packaging company. The business is fundamentally a contract manufacturing operation optimized for operational efficiency and capacity utilization rather than a purpose-driven organization playing an infinite game. The Kim family's controlling ownership structure provides strategic patience but not the visionary purpose that Sinek describes. CEO Kevin Engel assumed leadership in January 2026, succeeding Giel Rutten who steered the AI/advanced packaging pivot, but the new leadership has not yet been tested through adversity.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Amkor's purpose centers on being the world's technology packaging company and enabling the semiconductor ecosystem — a functional business description that does not articulate a vision of a better future or inspire beyond the operational reality [2]. Strategic decisions are driven by customer demand, capacity utilization, and technology roadmap alignment rather than a deeper purpose. The Kim family's founding vision was entrepreneurial rather than cause-driven.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Evidence suggests below-average organizational trust. Glassdoor rating of 3.3/5 with work-life balance at 2.7/5 and reports of challenging leadership culture at some facilities indicate organizational challenges [3]. With 30,800 employees primarily in manufacturing operations across Asia, the organizational structure is hierarchical and efficiency-focused. The CEO transition from Rutten to Engel in January 2026 adds leadership uncertainty, though the orderly succession suggests board-level planning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Amkor frames its competitive relationship with ASE Group (the primary OSAT rival) in terms of learning and self-improvement. Competitive commentary focuses on capacity, technology node leadership, and customer wins — finite competitive metrics. The TSMC and NVIDIA partnerships are positioned as competitive advantages over rivals rather than as mutual improvement opportunities.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Amkor has meaningfully evolved from traditional packaging (wire-bond, leadframe) to advanced packaging technologies (2.5D, HDFO, SiP) that serve higher-value AI and high-performance computing segments [1][2]. The $2.5-$3.0B annual capex and planned migration of SiP production from South Korea to Vietnam demonstrate operational flexibility. However, these are incremental technology evolutions within the same semiconductor packaging business rather than a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Amkor's $2.5-$3.0B annual capex commitment in 2026 represents approximately 33-40% of TTM revenue invested in advanced packaging capacity, compressing free cash flow to negative $379M while building future capability [1][5]. The 10-year TSMC partnership requires sustained capital commitment through multiple semiconductor cycles. These investments demonstrate willingness to sacrifice near-term financial performance for long-term positioning, though driven by customer demand and competitive necessity rather than visionary choice.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Amkor at $41.89 with a 14.97x forward P/E and 0.76 PEG ratio offers compelling value exposure to the AI infrastructure buildout. Record Q2 2026 revenue of $1.9B (+26% YoY) with Q3 guided to $1.95-2.05B demonstrates sustained demand, and the computing segment is expected to accelerate ~30% sequentially in Q3 driven by AI chip packaging [1]. The 10-year TSMC partnership and multi-year NVIDIA collaboration provide exceptional multi-year revenue visibility rarely available for semiconductor services companies [2]. D/E of 57% provides balance sheet conservatism with $2.5B cash against $2.7B debt, and the company is investing $2.5-3.0B in capex to expand advanced packaging capacity for the AI era. The stock has pulled back sharply from its 52-week high of $96.68, creating an attractive entry point at less than half of peak valuation [5].</w:t>
      </w:r>
    </w:p>
    <w:p>
      <w:pPr>
        <w:spacing w:after="120"/>
      </w:pPr>
      <w:r>
        <w:rPr>
          <w:rFonts w:ascii="Calibri" w:hAnsi="Calibri"/>
          <w:b w:val="0"/>
          <w:color w:val="3A4A28"/>
          <w:sz w:val="20"/>
        </w:rPr>
        <w:t>The bear case centers on margin structure, customer concentration, and execution risk. Profit margin of 7.45% is thin for a company with 30,800 employees and massive capital requirements — OSAT companies structurally operate at low margins due to customer bargaining power, and free cash flow is negative $379M despite record revenue as $2.5-3.0B capex absorbs cash [5]. Top 10 customers represent ~72% of sales, creating concentration risk. The planned SiP production migration from South Korea to Vietnam is expected to disrupt results through H1 2027, while the 5-year revenue CAGR of only ~6% reflects the semiconductor cyclicality that makes Amkor's revenue inherently volatile — the current AI-driven boom could moderate as prior cycles (2022-2024 downturn) demonstrated [1]. Beta of 2.22 means the stock amplifies market moves in both directions, and the 57% decline from the 52-week high illustrates the volatility risk. CEO Kevin Engel took over in January 2026 and has not yet navigated a downturn, adding leadership transition risk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Advanced packaging revenue acceleration as AI chip complexity drives demand for 2.5D, HDFO, and SiP technologies — Q3 2026 computing segment guided to accelerate ~30% sequentially, and each generation of AI GPUs requires more sophisticated and expensive packaging [1][2]</w:t>
      </w:r>
    </w:p>
    <w:p>
      <w:pPr>
        <w:spacing w:before="40" w:after="40"/>
        <w:ind w:left="283"/>
      </w:pPr>
      <w:r>
        <w:rPr>
          <w:rFonts w:ascii="Calibri" w:hAnsi="Calibri"/>
          <w:b/>
          <w:color w:val="4A6B25"/>
          <w:sz w:val="20"/>
        </w:rPr>
        <w:t xml:space="preserve">2. </w:t>
      </w:r>
      <w:r>
        <w:rPr>
          <w:rFonts w:ascii="Calibri" w:hAnsi="Calibri"/>
          <w:b w:val="0"/>
          <w:color w:val="3A4A28"/>
          <w:sz w:val="20"/>
        </w:rPr>
        <w:t>TSMC 10-year partnership and NVIDIA multi-year collaboration ramping to full capacity, providing contractual revenue visibility and technology co-development advantages in the highest-value packaging segments [2]</w:t>
      </w:r>
    </w:p>
    <w:p>
      <w:pPr>
        <w:spacing w:before="40" w:after="40"/>
        <w:ind w:left="283"/>
      </w:pPr>
      <w:r>
        <w:rPr>
          <w:rFonts w:ascii="Calibri" w:hAnsi="Calibri"/>
          <w:b/>
          <w:color w:val="4A6B25"/>
          <w:sz w:val="20"/>
        </w:rPr>
        <w:t xml:space="preserve">3. </w:t>
      </w:r>
      <w:r>
        <w:rPr>
          <w:rFonts w:ascii="Calibri" w:hAnsi="Calibri"/>
          <w:b w:val="0"/>
          <w:color w:val="3A4A28"/>
          <w:sz w:val="20"/>
        </w:rPr>
        <w:t>Margin expansion potential as advanced packaging mix increases and Vietnam facility reaches full utilization — Q2 2026 gross margin of 16.8% with Q3 guided to 18.5-19.5%, suggesting progression toward 20%+ as scale economies take hold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Customer concentration with top 10 customers representing ~72% of revenue — any shift in major customer packaging strategy (insourcing, supplier diversification) could materially impact results, and communications weakness (high-single-digit sequential decline expected Q3) demonstrates demand volatility [1]</w:t>
      </w:r>
    </w:p>
    <w:p>
      <w:pPr>
        <w:spacing w:before="40" w:after="40"/>
        <w:ind w:left="283"/>
      </w:pPr>
      <w:r>
        <w:rPr>
          <w:rFonts w:ascii="Calibri" w:hAnsi="Calibri"/>
          <w:b/>
          <w:color w:val="4A6B25"/>
          <w:sz w:val="20"/>
        </w:rPr>
        <w:t xml:space="preserve">2. </w:t>
      </w:r>
      <w:r>
        <w:rPr>
          <w:rFonts w:ascii="Calibri" w:hAnsi="Calibri"/>
          <w:b w:val="0"/>
          <w:color w:val="3A4A28"/>
          <w:sz w:val="20"/>
        </w:rPr>
        <w:t>Vietnam SiP production migration from South Korea expected to disrupt operations through H1 2027, creating execution risk and near-term earnings headwinds during a critical growth period [1]</w:t>
      </w:r>
    </w:p>
    <w:p>
      <w:pPr>
        <w:spacing w:before="40" w:after="40"/>
        <w:ind w:left="283"/>
      </w:pPr>
      <w:r>
        <w:rPr>
          <w:rFonts w:ascii="Calibri" w:hAnsi="Calibri"/>
          <w:b/>
          <w:color w:val="4A6B25"/>
          <w:sz w:val="20"/>
        </w:rPr>
        <w:t xml:space="preserve">3. </w:t>
      </w:r>
      <w:r>
        <w:rPr>
          <w:rFonts w:ascii="Calibri" w:hAnsi="Calibri"/>
          <w:b w:val="0"/>
          <w:color w:val="3A4A28"/>
          <w:sz w:val="20"/>
        </w:rPr>
        <w:t>Structural thin margins (profit margin 7.45%, negative FCF of -$379M) despite record revenue raise questions about capital return sustainability — the $2.5-3.0B capex plan consumes nearly all operating cash flow, leaving minimal buffer for cyclical downturns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 IMMUNE): Amkor's core business — physical semiconductor packaging and testing — is essential infrastructure that AI structurally cannot displace. Every AI chip requires physical assembly, packaging, and testing that only specialized manufacturers can provide, and advanced packaging technologies (2.5D, HDFO, SiP) are becoming more critical as AI chip complexity increases [1][2]. The 10-year TSMC partnership and NVIDIA collaboration directly link Amkor to the AI supply chain's most valuable nodes. AI increases demand for Amkor's services — every additional AI GPU produced requires Amkor's packaging, with Q3 2026 computing revenue expected to accelerate ~30% sequentially. Analysts view Amkor as a key AI infrastructure beneficiary, not a disruption target. AI Opportunity (1/1): Amkor generates substantial AI-linked revenue through advanced packaging of AI accelerator chips. The computing segment reached record revenue in Q2 2026, and the NVIDIA multi-year collaboration generates specific, quantifiable AI infrastructure revenue; Q2 revenue of $1.9B (+26% YoY) was led by AI-driven computing demand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Amkor Technology Q2 2026 Earnings — Record Revenue $1.9B (+26% YoY), Gross Margin 16.8%, EPS $0.70, Q3 Guidance $1.95-2.05B Revenue, 18.5-19.5% Gross Margin, Computing +30% Sequential Expected, NASDAQ/Quartr, July 2026</w:t>
      </w:r>
    </w:p>
    <w:p>
      <w:pPr>
        <w:spacing w:before="20" w:after="20"/>
        <w:ind w:left="170"/>
      </w:pPr>
      <w:r>
        <w:rPr>
          <w:rFonts w:ascii="Calibri" w:hAnsi="Calibri"/>
          <w:b/>
          <w:color w:val="4A6B25"/>
          <w:sz w:val="15"/>
        </w:rPr>
        <w:t xml:space="preserve">2. </w:t>
      </w:r>
      <w:r>
        <w:rPr>
          <w:rFonts w:ascii="Calibri" w:hAnsi="Calibri"/>
          <w:b w:val="0"/>
          <w:color w:val="3A4A28"/>
          <w:sz w:val="17"/>
        </w:rPr>
        <w:t>Amkor Technology Strategic Partnerships &amp; Capex — 10-Year TSMC Advanced Packaging Agreement, Multi-Year NVIDIA Collaboration, $2.5-3.0B Capex Guidance 2026, CEO Kevin Engel Succession January 2026, NASDAQ/InBusinessPHX, 2025-2026</w:t>
      </w:r>
    </w:p>
    <w:p>
      <w:pPr>
        <w:spacing w:before="20" w:after="20"/>
        <w:ind w:left="170"/>
      </w:pPr>
      <w:r>
        <w:rPr>
          <w:rFonts w:ascii="Calibri" w:hAnsi="Calibri"/>
          <w:b/>
          <w:color w:val="4A6B25"/>
          <w:sz w:val="15"/>
        </w:rPr>
        <w:t xml:space="preserve">3. </w:t>
      </w:r>
      <w:r>
        <w:rPr>
          <w:rFonts w:ascii="Calibri" w:hAnsi="Calibri"/>
          <w:b w:val="0"/>
          <w:color w:val="3A4A28"/>
          <w:sz w:val="17"/>
        </w:rPr>
        <w:t>Amkor Technology Leadership &amp; Culture — CEO Kevin Engel succeeded Giel Rutten January 2026, Chairman Susan Kim, Glassdoor 3.3/5 with work-life balance 2.7/5, Comparably/Clay, 2025-2026</w:t>
      </w:r>
    </w:p>
    <w:p>
      <w:pPr>
        <w:spacing w:before="20" w:after="20"/>
        <w:ind w:left="170"/>
      </w:pPr>
      <w:r>
        <w:rPr>
          <w:rFonts w:ascii="Calibri" w:hAnsi="Calibri"/>
          <w:b/>
          <w:color w:val="4A6B25"/>
          <w:sz w:val="15"/>
        </w:rPr>
        <w:t xml:space="preserve">4. </w:t>
      </w:r>
      <w:r>
        <w:rPr>
          <w:rFonts w:ascii="Calibri" w:hAnsi="Calibri"/>
          <w:b w:val="0"/>
          <w:color w:val="3A4A28"/>
          <w:sz w:val="17"/>
        </w:rPr>
        <w:t>Amkor Technology ESG — Sustainalytics Low Risk Rating (48/375 semiconductors), SBTi Net-Zero Targets (55% GHG reduction by 2033), 9% Scope 1/2 emissions intensity reduction, corporate responsibility reports, Sustainalytics/KnowESG, 2022-2026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AMKR key statistics: $41.89 price, D/E 57.1%, ROE 12.5%, profit margin 7.45%, forward P/E 14.97, PEG 0.76, avg volume 4.62M, 52-week range $29.50-$96.68, beta 2.22,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