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AMRX</w:t>
      </w:r>
      <w:r>
        <w:rPr>
          <w:rFonts w:ascii="Calibri" w:hAnsi="Calibri"/>
          <w:b/>
          <w:color w:val="1A2010"/>
          <w:sz w:val="40"/>
        </w:rPr>
        <w:t xml:space="preserve">  Amneal Pharmaceuticals, Inc.</w:t>
      </w:r>
    </w:p>
    <w:p>
      <w:pPr>
        <w:spacing w:after="120"/>
      </w:pPr>
      <w:r>
        <w:rPr>
          <w:rFonts w:ascii="Calibri" w:hAnsi="Calibri"/>
          <w:b/>
          <w:color w:val="6E8450"/>
          <w:sz w:val="18"/>
        </w:rPr>
        <w:t>GROWTH SLEEVE · 2026-09-05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Amneal Pharmaceuticals develops, manufactures, and distributes generic and specialty pharmaceutical products through two segments: Affordable Medicines (complex and high-value generic drugs including biosimilars) and Specialty (branded products including CREXONT for Parkinson's disease and BREKIYA autoinjector for cluster headaches/migraine). Also distributes through AvKARE to U.S. government/military channels. Co-founded in 2002 and led by brothers Chirag and Chintu Patel as co-CEOs. FY2025 net revenue reached $3.02B (+8% YoY) with GAAP net income swinging to $72M profit from a $117M loss in FY2024. FY2026 guidance: $3.05-3.15B revenue, $720-760M adjusted EBITDA.</w:t>
      </w:r>
    </w:p>
    <w:p>
      <w:r>
        <w:rPr>
          <w:rFonts w:ascii="Calibri" w:hAnsi="Calibri"/>
          <w:b/>
          <w:color w:val="6E8450"/>
          <w:sz w:val="18"/>
        </w:rPr>
        <w:t>8,700 Employees · https://www.amneal.com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'Amneal 2.0' strategy has transformed the company from a commodity generics player into a diversified specialty/generics platform [1]. CREXONT (carbidopa-levodopa extended-release for Parkinson's) delivered $21M in Q1 2026 and management reiterated $300-500M peak sales guidance [2]. BREKIYA autoinjector for cluster headaches launched with Q1 2026 revenue of $4.6M, tripling sequentially from Q4 2025 [2]. Late-2025 launches include denosumab biosimilars and generic Omnipaque (iohexol injection), accelerating the Affordable Medicines cadence to 7-8% segment growth in 2026 [1]. AI Deployment (0/2): No AI-powered products shipping to customers. Amneal is adopting digital platforms, IoT, and AI for manufacturing process optimization and formulation R&amp;D, but no measurable AI-driven revenue or cost savings have been disclosed [3]. Market Share (2/2): With $3.02B FY2025 revenue and FY2026 guidance of $3.05-3.15B, Amneal is a top-tier U.S. generic pharmaceutical manufacturer [1]. Focus on complex formulations with high barriers to entry — extended-release, injectables, biosimilars — creates defensible market positions against lower-quality competitors. Product Pipeline (2/2): Biosimilars pipeline represents the next major growth vector alongside CREXONT and BREKIYA ramp. Management expects an elevated pace of ANDA approvals and launches in 2026, with Affordable Medicines segment growth accelerating from FY2025 [1]. R&amp;D Intensity (1/1): Ongoing investment in complex drug formulation, biosimilar development, and specialty therapeutics. R&amp;D spending supports a robust pipeline across generics and specialty segments.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Amneal's purpose — 'We make healthy possible' — is validated by a business model centered on affordable medicines. The company's Affordable Medicines segment directly addresses drug cost barriers, and AvKARE's government distribution channel serves veterans and underserved populations [1][2]. The Patel brothers' 2019 return to co-CEO roles was explicitly framed as mission-driven, reconnecting with founding values of accessible healthcare [4]. The ESG report highlights philanthropic partnerships with health-related non-profits [4]. Community Impact (1/2): The Affordable Medicines business model directly addresses drug affordability for patients. AvKARE serves military and veteran healthcare systems. The company's 2023 ESG report details philanthropic partnerships with health-related non-profits [4]. No major standalone foundation but systematic community engagement. Employee Retention (1/2): 8,700 employees with the founding Patel family providing leadership continuity since their 2019 return. Glassdoor rating of 3.5/5 with 66% recommending the company — average for pharma [5]. Some reviews describe a 'cult of personality' with the co-CEOs but others praise accessible leadership and patient-first culture. Insider Buying (0/2): No evidence of meaningful net insider open-market purchases in the last 12 months. The Patel brothers maintain large founding equity positions but this represents insider holding, not recent buying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FY2025 delivered $3.02B net revenue (+8%), GAAP net income of $72M (vs -$117M loss in FY2024), and adjusted EBITDA of $688M (+10%) [1]. Q1 2026 continued the trajectory with $723M revenue and $62M net income (+411% YoY) [2]. The balance sheet remains heavily leveraged at D/E of 2,387%, reflecting acquisition-related debt from the Impax merger (score 0) [6]. ROE of 1.07% is barely positive as the company emerges from years of GAAP losses (score 0.07). TTM profit margin of 0.20% is nearly breakeven on a GAAP basis (score ~0) — the large gap between GAAP margin and adjusted EBITDA margin (~23%) reflects amortization of acquired intangibles. However, the forward valuation is attractive: Forward P/E of ~16x (adjusted basis) scores 1.0, and PEG ratio of 1.00 is right at the 1.0 target (score 1.0 at 2x weight) [6]. Revenue growth YoY of ~4% scores 0.80. Liquidity floor easily cleared: ~1.9M daily volume x $17.93 = $34M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Amneal under the Patel brothers' returned leadership demonstrates meaningful infinite game elements through its 'Amneal 2.0' transformation — pivoting from a commodity generics model to a diversified specialty/generics platform centered on affordable medicines. The founders' 2019 return after a period of management instability represents personal commitment to the cause. However, the extreme leverage ($2.69B debt) from acquisitive growth, the 'cult of personality' dynamics around the co-CEOs noted in Glassdoor reviews, and the inherent price competition of generic pharmaceuticals create finite-game tensions that constrain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Amneal's purpose of making healthcare affordable through accessible medicines is genuine, validated by the Affordable Medicines segment, AvKARE's government/veteran distribution, and the Patel brothers' decision to return to leadership specifically to reconnect with founding values [1][4]. The ESG report documents philanthropic partnerships with health-related non-profits. However, the generic pharmaceutical industry's competitive dynamics often reduce purpose to price arbitrage, and the Just Cause — while noble — lacks the transformative aspiration of the highest-scoring examples. The cause has shaped strategic decisions (Amneal 2.0, specialty expansion) but hasn't been tested through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Patel brothers' co-CEO structure provides stable, founder-led governance, and their 2019 return stabilized the company after a period of leadership turnover [4]. Glassdoor rating of 3.5/5 with 66% recommending is average for pharmaceutical companies [5]. Positive reviews praise accessible leadership and patient-first culture. However, critical reviews describe a 'cult of personality' where the co-CEOs need to be the center of attention and make every decision — suggesting centralized control that limits broader organizational trust and employee empowerment. The 8,700-employee workforce spans manufacturing, R&amp;D, and distribution.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Amneal competes with Teva, Viatris, and other generics manufacturers but has used competitive pressure to drive differentiation rather than price destruction. The strategic pivot to complex formulations with high barriers to entry (extended-release, injectables, biosimilars) and the expansion into specialty products (CREXONT, BREKIYA) reflect learning from rivals' strategies of combining generic scale with branded specialty margins [1]. Management's competitive language focuses on product quality and accessibility rather than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Amneal demonstrated meaningful flexibility through the 'Amneal 2.0' transformation: pivoting from pure commodity generics to a hybrid specialty/generics model, acquiring AvKARE for government distribution, and investing in biosimilars as the next growth vector [1]. The pivot to specialty (CREXONT for Parkinson's, BREKIYA for headaches) represents genuine business model evolution from a commodity manufacturer. However, the heavy debt from the Impax merger constrains future flexibility, and the core generics business remains subject to secular pricing deflation.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Patel brothers' 2019 decision to return to active management and execute a multi-year transformation demonstrated leadership conviction — accepting responsibility for a struggling company rather than walking away [4]. Taking on significant debt to fund the specialty portfolio and biosimilars pipeline represents a bet on long-term value creation over short-term deleveraging. However, the family-controlled structure reduces personal risk relative to outside CEO decision-making, and the company has yet to abandon a profitable but misaligned business line — the transformative bet of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Amneal's 'Amneal 2.0' transformation is delivering tangible results: FY2025 revenue of $3.02B (+8%), GAAP net income swinging to $72M profit from a $117M loss, and adjusted EBITDA of $688M (+10%) demonstrate accelerating profitability as specialty products scale [1]. CREXONT's $21M quarterly run-rate with $300-500M peak sales potential and BREKIYA's rapid adoption ($4.6M Q1 vs $1.6M Q4 2025) provide visible growth drivers [2]. The Affordable Medicines segment is accelerating to 7-8% growth in 2026 driven by biosimilar launches (denosumab) and complex generic approvals [1]. PEG ratio of 1.00 and adjusted forward P/E of ~16x offer attractive valuation for a company executing a fundamental business model upgrade. FY2026 guidance of $3.05-3.15B revenue and $720-760M adjusted EBITDA (+5-10%) targets continued margin expansion toward 45% gross margin [1].</w:t>
      </w:r>
    </w:p>
    <w:p>
      <w:pPr>
        <w:spacing w:after="120"/>
      </w:pPr>
      <w:r>
        <w:rPr>
          <w:rFonts w:ascii="Calibri" w:hAnsi="Calibri"/>
          <w:b w:val="0"/>
          <w:color w:val="3A4A28"/>
          <w:sz w:val="20"/>
        </w:rPr>
        <w:t>The primary concern remains the extreme balance sheet leverage: D/E of 2,387% reflects $2.69B in debt from the Impax merger, creating financial fragility and constraining strategic flexibility [6]. While the company is deleveraging (D/E was 6,751% a year ago) and targets net debt leverage below 2.5x, the debt burden leaves little room for error if revenue growth stalls or generic pricing pressure intensifies. TTM GAAP profit margin of 0.20% is razor-thin, and the enormous gap between GAAP and adjusted metrics (GAAP ~0.2% vs adjusted EBITDA margin ~23%) warrants scrutiny — much of the difference is non-cash amortization from acquisitions, but it masks the true cost of the balance sheet. Revenue growth is decelerating from 8% (FY2025) to guided 1-4% (FY2026), raising questions about top-line momentum [1]. The Patel family's controlling interest limits minority shareholder governance influence. The Inspire Impact Score of -62 (MISALIGNED due to Abortifacients) restricts allocation for faith-based investors despite numerous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CREXONT revenue trajectory toward $300-500M peak sales as Phase IV data (3.13 hours additional 'good on time') drives Parkinson's market share gains and treatment-naive patient adoption [2]</w:t>
      </w:r>
    </w:p>
    <w:p>
      <w:pPr>
        <w:spacing w:before="40" w:after="40"/>
        <w:ind w:left="283"/>
      </w:pPr>
      <w:r>
        <w:rPr>
          <w:rFonts w:ascii="Calibri" w:hAnsi="Calibri"/>
          <w:b/>
          <w:color w:val="4A6B25"/>
          <w:sz w:val="20"/>
        </w:rPr>
        <w:t xml:space="preserve">2. </w:t>
      </w:r>
      <w:r>
        <w:rPr>
          <w:rFonts w:ascii="Calibri" w:hAnsi="Calibri"/>
          <w:b w:val="0"/>
          <w:color w:val="3A4A28"/>
          <w:sz w:val="20"/>
        </w:rPr>
        <w:t>BREKIYA autoinjector adoption acceleration in cluster headache and severe migraine, with Q1 2026 revenue tripling sequentially to $4.6M and potential for rapid prescriber penetration [2]</w:t>
      </w:r>
    </w:p>
    <w:p>
      <w:pPr>
        <w:spacing w:before="40" w:after="40"/>
        <w:ind w:left="283"/>
      </w:pPr>
      <w:r>
        <w:rPr>
          <w:rFonts w:ascii="Calibri" w:hAnsi="Calibri"/>
          <w:b/>
          <w:color w:val="4A6B25"/>
          <w:sz w:val="20"/>
        </w:rPr>
        <w:t xml:space="preserve">3. </w:t>
      </w:r>
      <w:r>
        <w:rPr>
          <w:rFonts w:ascii="Calibri" w:hAnsi="Calibri"/>
          <w:b w:val="0"/>
          <w:color w:val="3A4A28"/>
          <w:sz w:val="20"/>
        </w:rPr>
        <w:t>Biosimilar launches (denosumab, others) and accelerated ANDA approval cadence driving Affordable Medicines segment growth to 7-8% in 2026, ahead of FY2025 pace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balance sheet leverage at 2,387% D/E ($2.69B debt, $203M cash) creates financial fragility — a sustained revenue miss, rate shock, or unexpected litigation could stress debt service capacity and force distressed refinancing [6]</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decelerating from 8% (FY2025) to guided 1-4% (FY2026) raises questions about whether the 'Amneal 2.0' transformation can sustain momentum, particularly if generic pricing deflation intensifies or specialty launch curves plateau [1]</w:t>
      </w:r>
    </w:p>
    <w:p>
      <w:pPr>
        <w:spacing w:before="40" w:after="40"/>
        <w:ind w:left="283"/>
      </w:pPr>
      <w:r>
        <w:rPr>
          <w:rFonts w:ascii="Calibri" w:hAnsi="Calibri"/>
          <w:b/>
          <w:color w:val="4A6B25"/>
          <w:sz w:val="20"/>
        </w:rPr>
        <w:t xml:space="preserve">3. </w:t>
      </w:r>
      <w:r>
        <w:rPr>
          <w:rFonts w:ascii="Calibri" w:hAnsi="Calibri"/>
          <w:b w:val="0"/>
          <w:color w:val="3A4A28"/>
          <w:sz w:val="20"/>
        </w:rPr>
        <w:t>GAAP/adjusted metric divergence (0.2% GAAP margin vs ~23% adjusted EBITDA margin) means investors must trust management's adjusted figures — any restatement or unexpected charge could severely impact the stock given the thin GAAP profitability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Amneal's core business of manufacturing complex generic and specialty pharmaceuticals is well-insulated from AI disruption. Generic drug development requires deep expertise in reverse-engineering complex formulations, navigating the FDA's ANDA approval process, and operating physical manufacturing facilities meeting cGMP standards — none of which AI can substitute [3]. Barriers to entry remain high: FDA approvals, manufacturing complexity, quality inspections, and physical supply chain distribution create structural moats. However, AI-driven drug discovery could accelerate competitive pressure by enabling faster reverse-engineering of complex formulations, and Amneal acknowledges in its 10-K that AI technologies present new risks including cybersecurity, data privacy, and potential regulatory compliance costs [3]. For a company dependent on physical manufacturing and regulatory moats, AI is a modest competitive accelerant, not an existential threat. AI Opportunity (0/1): Amneal is adopting AI for manufacturing process optimization and quality systems improvements but has not generated measurable AI revenue or quantified AI-driven cost savings. The VantAI branding partnership signals interest but no commercial AI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Amneal Pharmaceuticals FY2025 Results and FY2026 Guidance — Revenue $3.02B (+8%), net income $72M, EBITDA $688M, 2026 guidance $3.05-3.15B — investors.amneal.com, February 2026</w:t>
      </w:r>
    </w:p>
    <w:p>
      <w:pPr>
        <w:spacing w:before="20" w:after="20"/>
        <w:ind w:left="170"/>
      </w:pPr>
      <w:r>
        <w:rPr>
          <w:rFonts w:ascii="Calibri" w:hAnsi="Calibri"/>
          <w:b/>
          <w:color w:val="4A6B25"/>
          <w:sz w:val="15"/>
        </w:rPr>
        <w:t xml:space="preserve">2. </w:t>
      </w:r>
      <w:r>
        <w:rPr>
          <w:rFonts w:ascii="Calibri" w:hAnsi="Calibri"/>
          <w:b w:val="0"/>
          <w:color w:val="3A4A28"/>
          <w:sz w:val="17"/>
        </w:rPr>
        <w:t>Amneal Pharmaceuticals Q1 2026 Earnings — Revenue $723M, net income $62M (+411% YoY), CREXONT $21M, BREKIYA $4.6M — investors.amneal.com, May 2026</w:t>
      </w:r>
    </w:p>
    <w:p>
      <w:pPr>
        <w:spacing w:before="20" w:after="20"/>
        <w:ind w:left="170"/>
      </w:pPr>
      <w:r>
        <w:rPr>
          <w:rFonts w:ascii="Calibri" w:hAnsi="Calibri"/>
          <w:b/>
          <w:color w:val="4A6B25"/>
          <w:sz w:val="15"/>
        </w:rPr>
        <w:t xml:space="preserve">3. </w:t>
      </w:r>
      <w:r>
        <w:rPr>
          <w:rFonts w:ascii="Calibri" w:hAnsi="Calibri"/>
          <w:b w:val="0"/>
          <w:color w:val="3A4A28"/>
          <w:sz w:val="17"/>
        </w:rPr>
        <w:t>Amneal AI and Digital Transformation — IoT, AI adoption for manufacturing; VantAI partnership; 10-K risk disclosure on AI challenges — FiercePharma,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Amneal ESG Report 2023 — Philanthropy, sustainability, human capital management, ESG governance — investors.amneal.com, 2024</w:t>
      </w:r>
    </w:p>
    <w:p>
      <w:pPr>
        <w:spacing w:before="20" w:after="20"/>
        <w:ind w:left="170"/>
      </w:pPr>
      <w:r>
        <w:rPr>
          <w:rFonts w:ascii="Calibri" w:hAnsi="Calibri"/>
          <w:b/>
          <w:color w:val="4A6B25"/>
          <w:sz w:val="15"/>
        </w:rPr>
        <w:t xml:space="preserve">5. </w:t>
      </w:r>
      <w:r>
        <w:rPr>
          <w:rFonts w:ascii="Calibri" w:hAnsi="Calibri"/>
          <w:b w:val="0"/>
          <w:color w:val="3A4A28"/>
          <w:sz w:val="17"/>
        </w:rPr>
        <w:t>Glassdoor — Amneal Pharmaceuticals: 3.5/5, 66% recommend, reviews noting 'cult of personality' alongside accessible leadership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AMRX Key Statistics: D/E 2,387%, ROE 1.07%, PEG 1.0, Stock Price $17.93, Market Cap $6.24B,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