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AMTM</w:t>
      </w:r>
      <w:r>
        <w:rPr>
          <w:rFonts w:ascii="Calibri" w:hAnsi="Calibri"/>
          <w:b/>
          <w:color w:val="1A2010"/>
          <w:sz w:val="40"/>
        </w:rPr>
        <w:t xml:space="preserve">  Amentum Holdings, Inc.</w:t>
      </w:r>
    </w:p>
    <w:p>
      <w:pPr>
        <w:spacing w:after="120"/>
      </w:pPr>
      <w:r>
        <w:rPr>
          <w:rFonts w:ascii="Calibri" w:hAnsi="Calibri"/>
          <w:b/>
          <w:color w:val="6E8450"/>
          <w:sz w:val="18"/>
        </w:rPr>
        <w:t>GROWTH SLEEVE · 2026-09-10 · Inspire: 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Amentum Holdings is a global leader in advanced engineering and technology solutions serving the U.S. federal government and allied nations across defense, intelligence, energy, space, and commercial sectors. Formed through the 2024 merger of legacy Amentum and Jacobs Critical Mission Solutions, the company operates with approximately 53,000 employees in more than 70 countries. Amentum reported Q3 FY2026 revenue of $3.5B (+1% YoY) with adjusted EBITDA of $290M (+6% YoY, 8.3% margin) and adjusted EPS of $0.67 (+20% YoY). The company holds a $48B total backlog with TTM book-to-bill of 1.3x. FY2026 revenue guidance was revised to $13.8B-$13.95B (down due to NASA insourcing and contract protests), but EBITDA and EPS guidance were raised on margin expansion. CEO John Heller has led the company since March 2022.</w:t>
      </w:r>
    </w:p>
    <w:p>
      <w:r>
        <w:rPr>
          <w:rFonts w:ascii="Calibri" w:hAnsi="Calibri"/>
          <w:b/>
          <w:color w:val="6E8450"/>
          <w:sz w:val="18"/>
        </w:rPr>
        <w:t>53,000 Employees · https://www.amentum.com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transformative 2024 merger of legacy Amentum with Jacobs Critical Mission Solutions created a $14B+ diversified government services company with expanded capabilities across defense, intelligence, energy, and space — a significant strategic move that broadened the company's addressable market and competitive positioning [1]. However, the merger is an acquisition-driven transformation rather than organic product innovation, and the integration is still underway with revenue headwinds from NASA insourcing affecting near-term performance. AI Deployment (1/2): Amentum appointed Dr. Sam Nazari as Chief AI Architect in May 2026 to drive enterprise-wide AI integration, and company leadership describes 'grassroots AI innovation' across the organization [2]. However, no specific AI-powered products with quantified revenue, customer deployments, or measurable cost savings have been publicly disclosed. The AI strategy appears to be in early implementation rather than delivering measurable commercial results. Market Share (1/2): Amentum is one of the largest government services contractors globally with $14B+ revenue and operations across 70+ countries, serving defense, intelligence, and energy clients [1]. However, the government services market is highly fragmented with strong competitors including Leidos, SAIC, Booz Allen Hamilton, and KBR, and Amentum does not hold dominant share in any single services category. Pipeline (1/2): The $48B total backlog with TTM book-to-bill of 1.3x provides exceptional revenue visibility for a services company, and funded backlog grew 10% YoY to $6.2B [1]. Net bookings of $3.9B in Q3 demonstrate continued strong business development. However, government services companies do not typically announce specific next-generation products with named launch dates. R&amp;D Intensity (0/1): Government services contractors invest minimally in traditional R&amp;D relative to revenue. Amentum's technology spending is primarily directed at client solutions and internal AI capabilities rather than fundamental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Amentum's stated purpose — solving the world's most complex challenges in science, security, and sustainability — is clear and connects the company's work to national security, environmental remediation, and global defense missions that serve a broader public interest [2]. The mission is more distinctive than generic government contractor positioning and reflects genuine engagement with consequential challenges. However, it has not been validated through decades of consistent execution — the company in its current form exists only since the 2024 merger — and it remains a statement of intent rather than a proven competitive advantage. Community Impact (0/2): No evidence of distinctive charitable giving, community programs, or social investment was identified beyond standard corporate citizenship. The company's focus on government services limits visibility into community engagement programs. Employee Retention (1/2): Glassdoor data shows 71% of employees would recommend Amentum, with ratings of 3.5/5 for both culture and career opportunities — average for a large government contractor [2]. Managing 53,000 employees across 70 countries creates cultural complexity, and the recent merger likely introduced integration-related uncertainty. No specific voluntary turnover rate or average tenure data was found. Insider Buying (0/2): Recent insider transactions show RSU vesting and tax withholding activity (COO Arnette) rather than discretionary open-market purchases [4].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growth-sleeve methodology. Amentum's standout metric is its extremely attractive valuation — forward P/E of 9.01x is well below the 20x target, and the estimated forward PEG of approximately 0.50 is well below the 1.0 target, reflecting significant undervaluation relative to the company's EPS growth trajectory (+20% YoY in Q3) [4]. Debt-to-equity of 81.47% is slightly above the 70% target but within reasonable range for a recently merged entity (score 0.95). The balance sheet weakness is offset by strong cash generation capacity from government contracts. The primary drags are ROE of 4.46%, well below the 15% target, reflecting the dilutive impact of the Jacobs merger on equity returns, and GAAP profit margin of only 1.04%, typical of government services companies with thin margins but high revenue volume [4]. Revenue growth of approximately +1% YoY in Q3 FY2026 is below the 10% target, with full-year guidance revised down to $13.8-13.95B due to NASA insourcing and contract protest delays [1]. The 5-year revenue CAGR is excluded as the company is too new in its current form for a meaningful historical comparison. The stock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Amentum in its current form is too young (2024 merger) to have demonstrated the sustained purpose, cultural trust, and existential flexibility that characterize infinite-game players. The company's competitive language is oriented toward revenue targets, market share, and contract wins — finite metrics. The merger with Jacobs CMS was a growth-oriented strategic transaction rather than a cause-driven evolution. CEO Heller has articulated a clear operational vision but has not yet established the kind of enduring purpose that survives leadership transitions and market crises. The government services industry, with its focus on contract competitions and quarterly backlog reporting, inherently encourages finite-game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Amentum's purpose of solving complex challenges in science, security, and sustainability connects the company's work to genuinely consequential missions — national defense, environmental remediation, space exploration, and intelligence operations [2]. CEO Heller has articulated this vision since 2022, and the merger with Jacobs CMS was framed as expanding the company's capability to serve these missions. However, the company is only two years old in its current form, and the purpose has not been tested through crisis, leadership transition, or sustained execution over market cycles. The Just Cause reads as a corporate positioning statement rather than a deeply held belief that shapes difficult strategic decisions — the 2024 merger was driven by commercial logic (scale, diversification) rather than the cause demanding expansion.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Amentum's Glassdoor data shows 71% of employees would recommend the company with 3.5/5 ratings for both culture and career opportunities — average for a large government contractor [2]. The company manages 53,000 employees across 70+ countries, which inherently creates cultural complexity. The recent Jacobs CMS merger likely introduced integration-related uncertainty and cultural friction as two organizations combine. CEO Heller and COO Arnette provide leadership stability, and the company's emphasis on 'excellence, integrity, and innovation' suggests formal cultural values. However, no evidence of exceptional trust, empowerment, or employee-cited purpose was found — the organizational culture appears adequate but not distinctive.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Amentum competes in the government services market where competitive dynamics are fundamentally finite — contract competitions are zero-sum bidding processes, win rates are tracked as key performance metrics, and success is measured by contract awards and revenue growth relative to peers [1]. Management commentary focuses on backlog growth, book-to-bill ratios, and competitive positioning rather than learning from rivals' strengths. No evidence was found of the company using competitive pressure from Leidos, SAIC, or Booz Allen as motivation for self-improvement in Sinek's sense.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merger of legacy Amentum with Jacobs Critical Mission Solutions represents a meaningful strategic transformation — combining two separate entities into a $14B+ diversified government services company with expanded capabilities across defense, intelligence, energy, space, and commercial sectors [1]. This required abandoning the standalone identity of both predecessor companies in favor of a larger combined entity. Additionally, legacy Amentum was itself a 2020 spinoff from AECOM, representing another significant structural transformation. However, these corporate transactions were driven by commercial logic (scale, diversification, synergies) rather than a Just Cause demanding evolution, and the fundamental business model (government services contracting) has not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Amentum's management demonstrated operational discipline in Q3 FY2026 by raising EBITDA and EPS guidance despite revising revenue guidance downward — choosing to invest in margin improvement and operational efficiency rather than chasing revenue at the expense of profitability [1]. The appointment of a Chief AI Architect and commitment to enterprise-wide AI integration represents investment in future capability. The 2024 merger itself was a significant strategic bet requiring substantial integration effort and execution risk. However, the company has not demonstrated the kind of costly principled stance or sacrifice of near-term earnings for long-term capability that characterizes a 2 — decisions have been commercially rational rather than courageous in Sinek's sense.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Amentum at 9.01x forward earnings with a forward PEG of approximately 0.50 is a deeply undervalued government services leader trading at a significant discount to peers despite delivering 20% adjusted EPS growth in Q3 FY2026 and holding a massive $48B backlog with TTM book-to-bill of 1.3x [1]. The company's post-merger scale ($14B+ revenue, 53,000 employees, 70+ countries) creates competitive advantages in pursuing large-scale, complex government contracts across defense, intelligence, energy, and space. Funded backlog grew 10% YoY to $6.2B, providing near-term revenue visibility, while adjusted EBITDA margin expansion to 8.3% (+40bps YoY) demonstrates operational improvement [1]. The FY2027 outlook anticipates mid-single-digit growth excluding NASA headwinds, suggesting the near-term revenue pressures are temporary. The appointment of a Chief AI Architect and investment in enterprise-wide AI capabilities positions Amentum to capture growing DoD and intelligence community AI spending [2]. The company's structurally high AI resilience (score 9) reflects the physical-world, clearance-protected nature of its core services.</w:t>
      </w:r>
    </w:p>
    <w:p>
      <w:pPr>
        <w:spacing w:after="120"/>
      </w:pPr>
      <w:r>
        <w:rPr>
          <w:rFonts w:ascii="Calibri" w:hAnsi="Calibri"/>
          <w:b w:val="0"/>
          <w:color w:val="3A4A28"/>
          <w:sz w:val="20"/>
        </w:rPr>
        <w:t>The bear case focuses on thin margins, revenue headwinds, and merger integration risk. GAAP profit margin of only 1.04% leaves minimal room for error — government services contractors operate on thin margins where cost overruns, contract disputes, or pricing pressure can quickly turn profits into losses [4]. FY2026 revenue guidance was revised downward to $13.8-13.95B from higher levels due to NASA insourcing (a structural headwind as the agency brings work in-house) and contract protest delays, suggesting vulnerability to government budget and procurement decisions [1]. ROE of only 4.46% reflects dilutive post-merger capital structure and the inherently capital-light but low-return nature of government services contracting. The 2024 merger integration is ongoing, creating execution risk as two large organizations combine cultures, systems, and operations across 70+ countries. The company has limited track record in its current form — only two years of combined operating history provides insufficient data to assess long-term strategic capability. Legacy controversies including human trafficking and contract fraud allegations from the AECOM subsidiary era (now Amentum) create reputational risk [3]. The Inspire Impact Score of 5 (MIXED) with only one positive attribution (Customer Privacy) provides minimal appeal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expansion trajectory continues with adjusted EBITDA margin at 8.3% and management raising profitability guidance — further operational efficiency gains from merger synergies could drive EPS growth well above the already-strong 20% pace on a forward P/E of only 9.01x [1]</w:t>
      </w:r>
    </w:p>
    <w:p>
      <w:pPr>
        <w:spacing w:before="40" w:after="40"/>
        <w:ind w:left="283"/>
      </w:pPr>
      <w:r>
        <w:rPr>
          <w:rFonts w:ascii="Calibri" w:hAnsi="Calibri"/>
          <w:b/>
          <w:color w:val="4A6B25"/>
          <w:sz w:val="20"/>
        </w:rPr>
        <w:t xml:space="preserve">2. </w:t>
      </w:r>
      <w:r>
        <w:rPr>
          <w:rFonts w:ascii="Calibri" w:hAnsi="Calibri"/>
          <w:b w:val="0"/>
          <w:color w:val="3A4A28"/>
          <w:sz w:val="20"/>
        </w:rPr>
        <w:t>Enterprise-wide AI integration under new Chief AI Architect could unlock significant new revenue from growing DoD and intelligence community AI spending, positioning Amentum as a trusted AI solutions provider to classified government clients [2]</w:t>
      </w:r>
    </w:p>
    <w:p>
      <w:pPr>
        <w:spacing w:before="40" w:after="40"/>
        <w:ind w:left="283"/>
      </w:pPr>
      <w:r>
        <w:rPr>
          <w:rFonts w:ascii="Calibri" w:hAnsi="Calibri"/>
          <w:b/>
          <w:color w:val="4A6B25"/>
          <w:sz w:val="20"/>
        </w:rPr>
        <w:t xml:space="preserve">3. </w:t>
      </w:r>
      <w:r>
        <w:rPr>
          <w:rFonts w:ascii="Calibri" w:hAnsi="Calibri"/>
          <w:b w:val="0"/>
          <w:color w:val="3A4A28"/>
          <w:sz w:val="20"/>
        </w:rPr>
        <w:t>$48B backlog with 1.3x TTM book-to-bill provides exceptional forward revenue visibility, and easing of NASA insourcing headwinds in FY2027 could restore organic revenue growth to mid-single digits while margins continue expanding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 margin of only 1.04% and ROE of 4.46% reflect the structurally thin margins of government services contracting — cost overruns, contract disputes, or pricing pressure could quickly erode profitability on a $14B revenue base [4]</w:t>
      </w:r>
    </w:p>
    <w:p>
      <w:pPr>
        <w:spacing w:before="40" w:after="40"/>
        <w:ind w:left="283"/>
      </w:pPr>
      <w:r>
        <w:rPr>
          <w:rFonts w:ascii="Calibri" w:hAnsi="Calibri"/>
          <w:b/>
          <w:color w:val="4A6B25"/>
          <w:sz w:val="20"/>
        </w:rPr>
        <w:t xml:space="preserve">2. </w:t>
      </w:r>
      <w:r>
        <w:rPr>
          <w:rFonts w:ascii="Calibri" w:hAnsi="Calibri"/>
          <w:b w:val="0"/>
          <w:color w:val="3A4A28"/>
          <w:sz w:val="20"/>
        </w:rPr>
        <w:t>Revenue headwinds from NASA insourcing and contract protest delays caused FY2026 guidance revision downward, demonstrating vulnerability to government budget decisions and procurement process risks that are outside management's control [1]</w:t>
      </w:r>
    </w:p>
    <w:p>
      <w:pPr>
        <w:spacing w:before="40" w:after="40"/>
        <w:ind w:left="283"/>
      </w:pPr>
      <w:r>
        <w:rPr>
          <w:rFonts w:ascii="Calibri" w:hAnsi="Calibri"/>
          <w:b/>
          <w:color w:val="4A6B25"/>
          <w:sz w:val="20"/>
        </w:rPr>
        <w:t xml:space="preserve">3. </w:t>
      </w:r>
      <w:r>
        <w:rPr>
          <w:rFonts w:ascii="Calibri" w:hAnsi="Calibri"/>
          <w:b w:val="0"/>
          <w:color w:val="3A4A28"/>
          <w:sz w:val="20"/>
        </w:rPr>
        <w:t>Two-year track record since the 2024 Jacobs merger provides insufficient history to assess strategic capability, and ongoing integration of 53,000 employees across 70 countries creates execution risk that could disrupt operational performance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Amentum's core business — providing mission-critical engineering, technology, and support services to defense, intelligence, energy, and space clients — involves physical-world operations that AI structurally cannot displace [1]. The company's services require on-site presence at military bases, nuclear facilities, space launch complexes, and intelligence operations centers. Security clearances at the SECRET and TOP SECRET/SCI levels create regulatory moats that AI tools cannot obtain. Government contracting involves complex procurement processes, compliance requirements, and relationship-based business development that are deeply human-intensive. Environmental remediation, facility management, and weapons system maintenance are physical operations that AI cannot perform. The only exposure is that AI could increase efficiency of some support functions (IT services, data analytics) potentially reducing the scope of some contracts, but the core mission-critical services are structurally immune. AI might also disrupt some back-office functions that Amentum performs for clients. AI Opportunity (1/1): Amentum is actively developing AI capabilities for government clients, appointing a Chief AI Architect (Dr. Sam Nazari) in May 2026 to drive enterprise-wide AI integration [2]. The company is building AI-powered solutions for defense and intelligence customers, a market where demand for AI applications is rapidly growing as the DoD and intelligence community invest in AI adoption. While specific AI revenue is not separately disclosed, AI-enabled services represent a meaningful and growing portion of the company's pipeline and backlog.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Amentum Q3 FY2026 Earnings — Revenue $3.5B (+1%), Adj EBITDA $290M (+6%, 8.3% margin), Adj EPS $0.67 (+20%), $48B Backlog, Book-to-Bill 1.3x TTM, FY26 Revenue Guidance $13.8-13.95B — GuruFocus, StockTitan,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Amentum Leadership and AI Strategy — CEO John Heller (since 2022), Chief AI Architect Dr. Sam Nazari (May 2026), 53K Employees, Glassdoor 71% Recommend (3.5/5), Grassroots AI Innovation — Washington Technology, ExecutiveBiz, Glassdoor, 2026</w:t>
      </w:r>
    </w:p>
    <w:p>
      <w:pPr>
        <w:spacing w:before="20" w:after="20"/>
        <w:ind w:left="170"/>
      </w:pPr>
      <w:r>
        <w:rPr>
          <w:rFonts w:ascii="Calibri" w:hAnsi="Calibri"/>
          <w:b/>
          <w:color w:val="4A6B25"/>
          <w:sz w:val="15"/>
        </w:rPr>
        <w:t xml:space="preserve">3. </w:t>
      </w:r>
      <w:r>
        <w:rPr>
          <w:rFonts w:ascii="Calibri" w:hAnsi="Calibri"/>
          <w:b w:val="0"/>
          <w:color w:val="3A4A28"/>
          <w:sz w:val="17"/>
        </w:rPr>
        <w:t>Amentum ESG and Controversies — Human Trafficking/Fraud Lawsuit (Legacy AECOM Subsidiary), Libya Training Controversy, GAO Procurement Reviews — Wikipedia, Declassified Australia, GovCon Wire,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AMTM Key Statistics: Forward P/E 9.01, D/E 81.47%, ROE 4.46%, Profit Margin 1.04%, Stock Price ~$23, 244.3M Shares,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