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AMTX</w:t>
      </w:r>
      <w:r>
        <w:rPr>
          <w:rFonts w:ascii="Calibri" w:hAnsi="Calibri"/>
          <w:b/>
          <w:color w:val="1A2010"/>
          <w:sz w:val="40"/>
        </w:rPr>
        <w:t xml:space="preserve">  Aemetis, Inc.</w:t>
      </w:r>
    </w:p>
    <w:p>
      <w:pPr>
        <w:spacing w:after="120"/>
      </w:pPr>
      <w:r>
        <w:rPr>
          <w:rFonts w:ascii="Calibri" w:hAnsi="Calibri"/>
          <w:b/>
          <w:color w:val="6E8450"/>
          <w:sz w:val="18"/>
        </w:rPr>
        <w:t>GROWTH SLEEVE · 2026-09-26 · Inspire: 70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Nasdaq · United States</w:t>
      </w:r>
    </w:p>
    <w:p>
      <w:pPr>
        <w:spacing w:after="80"/>
      </w:pPr>
      <w:r>
        <w:rPr>
          <w:rFonts w:ascii="Calibri" w:hAnsi="Calibri"/>
          <w:b w:val="0"/>
          <w:color w:val="3A4A28"/>
          <w:sz w:val="20"/>
        </w:rPr>
        <w:t>Aemetis, Inc. is a Cupertino, California-based renewable fuels company producing below-zero-carbon-intensity ethanol in Keyes, California, dairy renewable natural gas (RNG) from California dairies, and biodiesel in Kakinada, India, under founder and CEO Eric McAfee's 'Carbon Zero' decarbonization strategy. The company reported FY2025 total income of $208.0M (including production tax credit income) and H1 2026 revenue of $117.3M, up from $95.1M a year earlier, with seven approved Low Carbon Fuel Standard pathways averaging a negative-380 carbon-intensity score.</w:t>
      </w:r>
    </w:p>
    <w:p>
      <w:r>
        <w:rPr>
          <w:rFonts w:ascii="Calibri" w:hAnsi="Calibri"/>
          <w:b/>
          <w:color w:val="6E8450"/>
          <w:sz w:val="18"/>
        </w:rPr>
        <w:t>https://www.aemetis.com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Aemetis has diversified from a single-product ethanol producer into a three-segment platform — California ethanol, dairy RNG, and India biodiesel — and secured seven fully approved LCFS pathways averaging a negative-380 carbon-intensity score, a genuine multi-year technical transformation, though it has not yet translated into consistent profitability [1]. AI Deployment (0/2): No evidence of AI product deployment or AI-driven efficiency gains was found. Market Share (0/2): No specific market share or leadership data was found relative to larger ethanol/biodiesel producers. Product Pipeline (2/2): Management has named six additional biogas LCFS pathways nearing approval and expects 'significantly improved LCFS revenues during later quarters of 2026,' providing specific, dated pipeline visibility [1]. R&amp;D Intensity (0/1): No R&amp;D-to-revenue comparison versus industry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Aemetis's mission to 'transform renewable energy with below-zero carbon-intensity transportation fuels' via its 'Carbon Zero' production process is specific and thoughtful, directly connecting operational choices (dairy RNG, negative-CI pathways) to a differentiated decarbonization purpose rather than generic sustainability language [1][2]. Community Impact (1/2): Inspire Insight data and third-party ESG scoring (Environmental 88, Social 100) point to positive environmental and social practices (energy management, low ecological impact, water conservation), though no specific charitable dollar figures were found [3]. Employee Retention (0/2): No tenure or turnover data was found. Insider Buying (0/2): No evidence of net insider buying by CEO McAfee or other executives in the last 12 months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(growth-stock weighting). Aemetis carries negative shareholder equity, producing a debt-to-equity ratio of roughly -164% that is scored at the floor (0.0) as a solvency red flag, consistent with reports of only ~$1M cash against ~$415M in liabilities [4]. Revenue growth of approximately 20% YoY (H1 2026 revenue of $117.3M vs $95.1M in H1 2025, Q1 2026 +27% YoY) scores a full 1.0 against the 10% target [1]. Forward P/E of -3.59 and profit margin of -26.1% both score 0.0 given the company remains unprofitable, though gross profit did turn positive in Q1 2026 ($2.8M vs a $5.1M gross loss a year earlier) [1]. ROE, 5-year revenue CAGR, and PEG were unavailable and excluded from the calculation. Liquidity passes narrowly (avg daily volume 1.04M x $1.79 = ~$1.87M).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Founder-CEO Eric McAfee has pursued the same decarbonized-fuels mission for roughly two decades (founded 2005, CEO since 2007) through persistent balance sheet stress, continuing to fund negative-CI LCFS pathway approvals and dairy RNG buildout even as the company posts losses and carries negative equity — a genuine long-horizon commitment, though one whose sustainability depends on the LCFS revenue ramp materializing.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'Carbon Zero' decarbonization mission is genuine, service-oriented, and has shaped two decades of capital allocation toward negative-carbon-intensity fuel pathways, but the company's continued financial distress (negative equity) means the cause has not yet been fully validated by sustained profitable execution [1][2].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McAfee's long, stable tenure as founder-CEO since 2007 suggests organizational continuity, but no specific employee retention or turnover data was found to support a claim of exceptional trust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referencing competitors in a learning-oriented, 'worthy rival' framing was found.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Aemetis has evolved from a pure-play ethanol producer into a three-segment platform spanning dairy RNG and India biodiesel, a meaningful diversification, though the core identity as a renewable-fuels producer has not fundamentally changed [1].</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McAfee has sustained multi-year capital investment in negative-carbon-intensity pathways, dairy digesters, and India biodiesel capacity despite persistent net losses and a negative-equity balance sheet, a clear pattern of prioritizing long-term capability over near-term earnings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Aemetis is executing a genuine multi-year transformation into a negative-carbon-intensity fuels platform, with seven approved LCFS pathways averaging a -380 CI score and six more biogas pathways nearing approval, positioning the company for a step-change in LCFS credit revenue in later 2026 [1]. H1 2026 revenue grew to $117.3M from $95.1M a year earlier (+23%), and Q1 2026 gross profit turned positive ($2.8M) versus a $5.1M gross loss in the prior-year quarter, evidence that operating leverage is beginning to show through as RNG and biodiesel volumes scale [1]. The Inspire Insight score of 70, with positive attributions across energy management, water conservation, and ethical supply chain practices, reflects a company whose core business is genuinely aligned with environmental stewardship rather than greenwashed [Inspire data].</w:t>
      </w:r>
    </w:p>
    <w:p>
      <w:pPr>
        <w:spacing w:after="120"/>
      </w:pPr>
      <w:r>
        <w:rPr>
          <w:rFonts w:ascii="Calibri" w:hAnsi="Calibri"/>
          <w:b w:val="0"/>
          <w:color w:val="3A4A28"/>
          <w:sz w:val="20"/>
        </w:rPr>
        <w:t>The bear case centers on balance sheet fragility: Aemetis carries negative shareholder equity (D/E of roughly -164%) and one estimate placed cash at only ~$1M against ~$415M in liabilities, a precarious position for a capital-intensive business [4]. The company remains unprofitable with a forward P/E of -3.6 and a -26.1% profit margin, and its investment thesis depends heavily on LCFS credit pricing and pathway approvals that are subject to California and federal regulatory policy risk. Average daily dollar volume of only ~$1.87M provides thin liquidity margin above the $1,000,000 IOWN floor, and further capital raises to fund the RNG and biodiesel buildout could meaningfully dilute existing shareholders before the LCFS revenue ramp is proven out.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Six additional biogas LCFS pathways nearing approval, on top of seven already approved at a -380 average CI score, could materially lift LCFS credit revenue in late 2026 [1]</w:t>
      </w:r>
    </w:p>
    <w:p>
      <w:pPr>
        <w:spacing w:before="40" w:after="40"/>
        <w:ind w:left="283"/>
      </w:pPr>
      <w:r>
        <w:rPr>
          <w:rFonts w:ascii="Calibri" w:hAnsi="Calibri"/>
          <w:b/>
          <w:color w:val="4A6B25"/>
          <w:sz w:val="20"/>
        </w:rPr>
        <w:t xml:space="preserve">2. </w:t>
      </w:r>
      <w:r>
        <w:rPr>
          <w:rFonts w:ascii="Calibri" w:hAnsi="Calibri"/>
          <w:b w:val="0"/>
          <w:color w:val="3A4A28"/>
          <w:sz w:val="20"/>
        </w:rPr>
        <w:t>Continued dairy RNG and India biodiesel volume scaling following Q1 2026's swing to positive gross profit ($2.8M vs a $5.1M gross loss a year earlier) [1]</w:t>
      </w:r>
    </w:p>
    <w:p>
      <w:pPr>
        <w:spacing w:before="40" w:after="40"/>
        <w:ind w:left="283"/>
      </w:pPr>
      <w:r>
        <w:rPr>
          <w:rFonts w:ascii="Calibri" w:hAnsi="Calibri"/>
          <w:b/>
          <w:color w:val="4A6B25"/>
          <w:sz w:val="20"/>
        </w:rPr>
        <w:t xml:space="preserve">3. </w:t>
      </w:r>
      <w:r>
        <w:rPr>
          <w:rFonts w:ascii="Calibri" w:hAnsi="Calibri"/>
          <w:b w:val="0"/>
          <w:color w:val="3A4A28"/>
          <w:sz w:val="20"/>
        </w:rPr>
        <w:t>Federal clean fuel incentive monetization beginning to flow through alongside LCFS revenue could accelerate the path to sustained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shareholder equity and reports of only ~$1M cash against ~$415M in liabilities point to genuine balance sheet fragility for a capital-intensive fuels producer [4]</w:t>
      </w:r>
    </w:p>
    <w:p>
      <w:pPr>
        <w:spacing w:before="40" w:after="40"/>
        <w:ind w:left="283"/>
      </w:pPr>
      <w:r>
        <w:rPr>
          <w:rFonts w:ascii="Calibri" w:hAnsi="Calibri"/>
          <w:b/>
          <w:color w:val="4A6B25"/>
          <w:sz w:val="20"/>
        </w:rPr>
        <w:t xml:space="preserve">2. </w:t>
      </w:r>
      <w:r>
        <w:rPr>
          <w:rFonts w:ascii="Calibri" w:hAnsi="Calibri"/>
          <w:b w:val="0"/>
          <w:color w:val="3A4A28"/>
          <w:sz w:val="20"/>
        </w:rPr>
        <w:t>Continued net losses (profit margin of -26.1%, negative forward P/E) mean the equity story depends on an LCFS revenue ramp that has not yet materialized at scale [1]</w:t>
      </w:r>
    </w:p>
    <w:p>
      <w:pPr>
        <w:spacing w:before="40" w:after="40"/>
        <w:ind w:left="283"/>
      </w:pPr>
      <w:r>
        <w:rPr>
          <w:rFonts w:ascii="Calibri" w:hAnsi="Calibri"/>
          <w:b/>
          <w:color w:val="4A6B25"/>
          <w:sz w:val="20"/>
        </w:rPr>
        <w:t xml:space="preserve">3. </w:t>
      </w:r>
      <w:r>
        <w:rPr>
          <w:rFonts w:ascii="Calibri" w:hAnsi="Calibri"/>
          <w:b w:val="0"/>
          <w:color w:val="3A4A28"/>
          <w:sz w:val="20"/>
        </w:rPr>
        <w:t>Thin liquidity (~$1.87M average daily dollar volume) sits just above the IOWN floor, and further equity raises to fund plant buildout could dilute existing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Aemetis's business — producing physical renewable fuels, RNG, and biodiesel through capital-intensive plants and dairy digesters — is structurally immune to AI substitution, since no software tool can replace fuel refining and biogas processing infrastructure [1]. Rising AI data-center energy demand is, if anything, a modest long-term tailwind for low-carbon fuel and RNG producers. AI Opportunity (0/1): No evidence of AI-related revenue or AI product deployment was found.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Aemetis Q1/H1 2026 and FY2025 Earnings Releases — aemetis.com, SEC 8-K filings, 2026</w:t>
      </w:r>
    </w:p>
    <w:p>
      <w:pPr>
        <w:spacing w:before="20" w:after="20"/>
        <w:ind w:left="170"/>
      </w:pPr>
      <w:r>
        <w:rPr>
          <w:rFonts w:ascii="Calibri" w:hAnsi="Calibri"/>
          <w:b/>
          <w:color w:val="4A6B25"/>
          <w:sz w:val="15"/>
        </w:rPr>
        <w:t xml:space="preserve">2. </w:t>
      </w:r>
      <w:r>
        <w:rPr>
          <w:rFonts w:ascii="Calibri" w:hAnsi="Calibri"/>
          <w:b w:val="0"/>
          <w:color w:val="3A4A28"/>
          <w:sz w:val="17"/>
        </w:rPr>
        <w:t>Aemetis CEO Eric McAfee Background — aemetis.com, UC Merced, MarketScreener,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Aemetis ESG and Inspire Insight Data — Permutable AI, CapEdge, Inspire Insight,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Aemetis Balance Sheet / Debt-to-Equity Data — Investing.com, Simply Wall St,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yfinance — AMTX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