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AMX</w:t>
      </w:r>
      <w:r>
        <w:rPr>
          <w:rFonts w:ascii="Calibri" w:hAnsi="Calibri"/>
          <w:b/>
          <w:color w:val="1A2010"/>
          <w:sz w:val="40"/>
        </w:rPr>
        <w:t xml:space="preserve">  América Móvil, S.A.B. de C.V.</w:t>
      </w:r>
    </w:p>
    <w:p>
      <w:pPr>
        <w:spacing w:after="120"/>
      </w:pPr>
      <w:r>
        <w:rPr>
          <w:rFonts w:ascii="Calibri" w:hAnsi="Calibri"/>
          <w:b/>
          <w:color w:val="6E8450"/>
          <w:sz w:val="18"/>
        </w:rPr>
        <w:t>DIVIDEND SLEEVE · 2026-09-06 · Inspire: -62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56</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Communication Services · Telecom Services · NYSE · Mexico</w:t>
      </w:r>
    </w:p>
    <w:p>
      <w:pPr>
        <w:spacing w:after="80"/>
      </w:pPr>
      <w:r>
        <w:rPr>
          <w:rFonts w:ascii="Calibri" w:hAnsi="Calibri"/>
          <w:b w:val="0"/>
          <w:color w:val="3A4A28"/>
          <w:sz w:val="20"/>
        </w:rPr>
        <w:t>América Móvil is the largest telecommunications company in Latin America, controlled by the Carlos Slim family, providing wireless and fixed-line voice, data, broadband, and pay TV services across 25 countries. The company operates under brands including Telcel, Telmex, Claro, and TracFone, serving approximately 300 million wireless subscribers. AMX reported FY2025 revenue of Ps.943.6B (~$50.1B USD) with net profit of Ps.88.1B (~$4.7B), driven by postpaid subscriber growth, fiber broadband expansion, and enterprise cloud services growing at 12.3% YoY.</w:t>
      </w:r>
    </w:p>
    <w:p>
      <w:r>
        <w:rPr>
          <w:rFonts w:ascii="Calibri" w:hAnsi="Calibri"/>
          <w:b/>
          <w:color w:val="6E8450"/>
          <w:sz w:val="18"/>
        </w:rPr>
        <w:t>176,618 Employees · https://www.americamovil.com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América Móvil has executed a significant multi-year transformation from legacy copper fixed-line to fiber broadband and 5G, while building an enterprise cloud/IT services division that grew 12.3% in Q4 2025 and is becoming a strategic pillar [1]. Postpaid growth drove 7.3% service revenue increase in Q2 2025, demonstrating commercial execution [2]. AI Deployment (1/2): The company is pursuing ERP, OSS/BSS, and AI-enabled transformation including billing modernization, network analytics, and AI-powered customer care and maintenance — but no specific AI revenue or quantified cost savings have been disclosed [3]. Market Share (2/2): AMX holds dominant positions across Latin America — approximately 70% of Mexico's mobile traffic and 80% of fixed-line, with leading positions in Brazil, Colombia, and most of Central America under the Claro brand [4]. Pipeline (1/2): 5G rollout is advancing across Mexico, Brazil, and Colombia with specific spectrum acquisitions and network targets, and fiber-to-the-home expansion continues with 45M+ homes passed, though timelines remain broad [1]. R&amp;D Intensity (0/1): As a telecom operator, R&amp;D spending is below industry average for technology companies, with capex focused on network deployment rather than proprietary technology development.</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América Móvil's purpose centers on connecting people across Latin America and enabling digital inclusion — clear and relevant to its business but not distinctively articulated beyond standard telecom industry positioning [3]. Community Impact (1/2): Fundación Telmex-Telcel, closely associated with AMX, runs programs in education, health, environment, and digital literacy across Mexico, including academic scholarships, though these are primarily associated with the Slim family's philanthropy rather than the company itself [5]. Employee Retention (0/2): CEO Daniel Hajj Aboumrad has served since 2000, providing 26 years of exceptional leadership continuity, but no specific employee retention metrics, voluntary turnover rates, or average tenure data were identified for the broader 176,000-person workforce. Insider Buying (0/2): No evidence of net insider buying in the past 12 months was found. The Slim family controls the company through majority voting shares rather than open-market purchases.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D/E of 173% is elevated for the telecom sector but within the scoring range, reflecting heavy capital investment in fiber and 5G infrastructure [1]. ROE of 20.5% exceeds the 15% target, demonstrating efficient capital deployment [6]. Forward P/E of 12.0 is well below the 20 target, indicating attractive valuation [6]. Revenue growth YoY of 3.2% and estimated 5-year CAGR of 3.0% are modest, reflecting the mature LatAm telecom market [1]. Profit margin of 8.8% is below the 20% target, typical of capital-intensive telecoms [6]. Dividend payout ratio of 37.3% is below the 40% target, and the 5-year dividend growth CAGR of 6.8% exceeds the 6% target [7]. Easily clears the liquidity floor with ~$50.8M in daily trading value.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América Móvil operates with a fundamentally finite competitive mindset shaped by Carlos Slim's investment philosophy of market dominance and cost discipline. The company has historically prioritized market share control and regulatory advantage over a deeper organizational purpose, though its long-tenured leadership and willingness to invest through cycles show some infinite game characteristics.</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AMX's purpose of 'digital inclusion' across Latin America is stated but functions more as a commercial strategy than a deeply held cause that shapes strategic decisions [3]. The company's competitive behavior — maintaining 70-80% market share in Mexico through regulatory and legal battles rather than innovation — suggests the purpose is profit maximization through scale, not advancing a vision of a connected Latin America [4]. Leadership does not reference a higher purpose when discussing strategy in earnings calls.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Daniel Hajj has led AMX for 26 years, and Chairman Carlos Slim Domit provides multi-generational family continuity — leadership stability is exceptional [3]. The organization is large (176K+ employees) and operates across 25 countries, suggesting functional management systems. However, no specific evidence of employee empowerment programs, low voluntary turnover, or cultural practices that create psychological safety was identified beyond standard corporate operations.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AMX has historically displayed a finite competitive mindset, using its dominant market position and regulatory influence to maintain control rather than learning from competitors [4]. The company's antitrust history in Mexico — where regulators had to impose infrastructure-sharing requirements and interconnection mandates — reflects a 'winning' rather than 'improving' orientation. Management commentary focuses on market leadership and subscriber metrics rather than competitive learning.</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AMX has evolved its business model over 25+ years from fixed-line telephony to mobile to broadband and enterprise services, demonstrating incremental strategic adaptation [1]. The company divested European holdings (KPN, Telekom Austria) to refocus on Latin America, and the pivot to fiber and 5G shows willingness to invest in next-generation infrastructure. However, these are evolutionary adaptations within telecom rather than transformative reinventions.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AMX has invested heavily in fiber and 5G infrastructure across Latin America during periods of currency volatility and economic uncertainty, demonstrating willingness to prioritize long-term network capability over short-term earnings [1]. The company maintained capital expenditure discipline through the COVID pandemic and LatAm economic downturns. However, the most 'courageous' strategic decisions (European divestitures, asset sales to meet antitrust requirements) were driven by regulatory necessity rather than proactive long-term vision.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América Móvil offers exposure to Latin America's digital transformation at an attractive valuation (12x forward earnings) with a well-covered 2.3% dividend growing at 6.8% annually. The company's dominant market positions across 25 countries, accelerating fiber and 5G buildout, and emerging enterprise cloud services division (growing 12.3% YoY) provide multiple growth vectors [1][2]. With ROE of 20.5% and a payout ratio under 40%, the company generates strong returns while maintaining capacity for continued infrastructure investment [6].</w:t>
      </w:r>
    </w:p>
    <w:p>
      <w:pPr>
        <w:spacing w:after="120"/>
      </w:pPr>
      <w:r>
        <w:rPr>
          <w:rFonts w:ascii="Calibri" w:hAnsi="Calibri"/>
          <w:b w:val="0"/>
          <w:color w:val="3A4A28"/>
          <w:sz w:val="20"/>
        </w:rPr>
        <w:t>The bear case centers on regulatory overhang in Mexico, where AMX faces ongoing antitrust restrictions that limit pricing power and require infrastructure sharing with competitors [4]. Debt-to-equity of 173% reflects heavy capital intensity, and LatAm currency exposure creates earnings volatility — a 10% peso depreciation against the dollar materially impacts reported USD results. Revenue growth of 3.2% YoY is modest for a company operating in markets with significant digital adoption upside, and profit margins of 8.8% lag global telecom peers, suggesting limited operating leverage from scale [6].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Accelerating 5G monetization across Mexico, Brazil, and Colombia as network coverage expands and postpaid mix shifts higher, with service revenue already growing 5.3% YoY</w:t>
      </w:r>
    </w:p>
    <w:p>
      <w:pPr>
        <w:spacing w:before="40" w:after="40"/>
        <w:ind w:left="283"/>
      </w:pPr>
      <w:r>
        <w:rPr>
          <w:rFonts w:ascii="Calibri" w:hAnsi="Calibri"/>
          <w:b/>
          <w:color w:val="4A6B25"/>
          <w:sz w:val="20"/>
        </w:rPr>
        <w:t xml:space="preserve">2. </w:t>
      </w:r>
      <w:r>
        <w:rPr>
          <w:rFonts w:ascii="Calibri" w:hAnsi="Calibri"/>
          <w:b w:val="0"/>
          <w:color w:val="3A4A28"/>
          <w:sz w:val="20"/>
        </w:rPr>
        <w:t>Enterprise cloud and IT services division growing at 12.3% as corporate networks modernize, representing a higher-margin revenue diversification beyond traditional connectivity</w:t>
      </w:r>
    </w:p>
    <w:p>
      <w:pPr>
        <w:spacing w:before="40" w:after="40"/>
        <w:ind w:left="283"/>
      </w:pPr>
      <w:r>
        <w:rPr>
          <w:rFonts w:ascii="Calibri" w:hAnsi="Calibri"/>
          <w:b/>
          <w:color w:val="4A6B25"/>
          <w:sz w:val="20"/>
        </w:rPr>
        <w:t xml:space="preserve">3. </w:t>
      </w:r>
      <w:r>
        <w:rPr>
          <w:rFonts w:ascii="Calibri" w:hAnsi="Calibri"/>
          <w:b w:val="0"/>
          <w:color w:val="3A4A28"/>
          <w:sz w:val="20"/>
        </w:rPr>
        <w:t>Fiber-to-the-home expansion with 45M+ homes passed, driving broadband ARPU increases as subscribers upgrade from DSL to fiber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Mexican antitrust regulations require infrastructure sharing and prohibit interconnection charges, structurally capping AMX's pricing power in its largest and most profitable market</w:t>
      </w:r>
    </w:p>
    <w:p>
      <w:pPr>
        <w:spacing w:before="40" w:after="40"/>
        <w:ind w:left="283"/>
      </w:pPr>
      <w:r>
        <w:rPr>
          <w:rFonts w:ascii="Calibri" w:hAnsi="Calibri"/>
          <w:b/>
          <w:color w:val="4A6B25"/>
          <w:sz w:val="20"/>
        </w:rPr>
        <w:t xml:space="preserve">2. </w:t>
      </w:r>
      <w:r>
        <w:rPr>
          <w:rFonts w:ascii="Calibri" w:hAnsi="Calibri"/>
          <w:b w:val="0"/>
          <w:color w:val="3A4A28"/>
          <w:sz w:val="20"/>
        </w:rPr>
        <w:t>Latin American currency volatility — peso, real, and Colombian peso depreciation directly compresses USD-reported revenue and earnings, with limited natural hedging across the portfolio</w:t>
      </w:r>
    </w:p>
    <w:p>
      <w:pPr>
        <w:spacing w:before="40" w:after="40"/>
        <w:ind w:left="283"/>
      </w:pPr>
      <w:r>
        <w:rPr>
          <w:rFonts w:ascii="Calibri" w:hAnsi="Calibri"/>
          <w:b/>
          <w:color w:val="4A6B25"/>
          <w:sz w:val="20"/>
        </w:rPr>
        <w:t xml:space="preserve">3. </w:t>
      </w:r>
      <w:r>
        <w:rPr>
          <w:rFonts w:ascii="Calibri" w:hAnsi="Calibri"/>
          <w:b w:val="0"/>
          <w:color w:val="3A4A28"/>
          <w:sz w:val="20"/>
        </w:rPr>
        <w:t>Capital intensity of simultaneous fiber and 5G buildouts across multiple countries strains free cash flow, with D/E already at 173% and annual capex running ~$8-9B</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América Móvil's core business is physical telecommunications infrastructure — cell towers, fiber networks, spectrum licenses, and last-mile connectivity — that AI structurally cannot displace [3]. AI adoption increases demand for bandwidth, data center connectivity, and edge computing, all of which AMX provides. Customer service functions face some AI substitution risk through chatbots and automated support, but these represent cost savings opportunities rather than revenue threats. The company's regulated monopoly/duopoly positions across Latin America provide additional structural protection. AI Opportunity (0/1): AMX is deploying AI internally for network optimization, billing, and customer care, but has not disclosed quantifiable AI-related revenue streams or specific cost savings attributable to AI deployment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-62</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Sexually Explicit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America Movil FY2025 Annual Report (20-F), SEC Filing, April 2026</w:t>
      </w:r>
    </w:p>
    <w:p>
      <w:pPr>
        <w:spacing w:before="20" w:after="20"/>
        <w:ind w:left="170"/>
      </w:pPr>
      <w:r>
        <w:rPr>
          <w:rFonts w:ascii="Calibri" w:hAnsi="Calibri"/>
          <w:b/>
          <w:color w:val="4A6B25"/>
          <w:sz w:val="15"/>
        </w:rPr>
        <w:t xml:space="preserve">2. </w:t>
      </w:r>
      <w:r>
        <w:rPr>
          <w:rFonts w:ascii="Calibri" w:hAnsi="Calibri"/>
          <w:b w:val="0"/>
          <w:color w:val="3A4A28"/>
          <w:sz w:val="17"/>
        </w:rPr>
        <w:t>America Movil Q2 2025 Investor Presentation — Postpaid growth drives 7.3% service revenue increase, July 2025</w:t>
      </w:r>
    </w:p>
    <w:p>
      <w:pPr>
        <w:spacing w:before="20" w:after="20"/>
        <w:ind w:left="170"/>
      </w:pPr>
      <w:r>
        <w:rPr>
          <w:rFonts w:ascii="Calibri" w:hAnsi="Calibri"/>
          <w:b/>
          <w:color w:val="4A6B25"/>
          <w:sz w:val="15"/>
        </w:rPr>
        <w:t xml:space="preserve">3. </w:t>
      </w:r>
      <w:r>
        <w:rPr>
          <w:rFonts w:ascii="Calibri" w:hAnsi="Calibri"/>
          <w:b w:val="0"/>
          <w:color w:val="3A4A28"/>
          <w:sz w:val="17"/>
        </w:rPr>
        <w:t>Umbrex Company Profile — América Móvil Strategy and Business Model,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Forbes — Billionaire Carlos Slim's America Movil antitrust and regulatory history, March 2017</w:t>
      </w:r>
    </w:p>
    <w:p>
      <w:pPr>
        <w:spacing w:before="20" w:after="20"/>
        <w:ind w:left="170"/>
      </w:pPr>
      <w:r>
        <w:rPr>
          <w:rFonts w:ascii="Calibri" w:hAnsi="Calibri"/>
          <w:b/>
          <w:color w:val="4A6B25"/>
          <w:sz w:val="15"/>
        </w:rPr>
        <w:t xml:space="preserve">5. </w:t>
      </w:r>
      <w:r>
        <w:rPr>
          <w:rFonts w:ascii="Calibri" w:hAnsi="Calibri"/>
          <w:b w:val="0"/>
          <w:color w:val="3A4A28"/>
          <w:sz w:val="17"/>
        </w:rPr>
        <w:t>Fundación Telmex-Telcel — Education, health, and digital inclusion programs, accessed September 2026</w:t>
      </w:r>
    </w:p>
    <w:p>
      <w:pPr>
        <w:spacing w:before="20" w:after="20"/>
        <w:ind w:left="170"/>
      </w:pPr>
      <w:r>
        <w:rPr>
          <w:rFonts w:ascii="Calibri" w:hAnsi="Calibri"/>
          <w:b/>
          <w:color w:val="4A6B25"/>
          <w:sz w:val="15"/>
        </w:rPr>
        <w:t xml:space="preserve">6. </w:t>
      </w:r>
      <w:r>
        <w:rPr>
          <w:rFonts w:ascii="Calibri" w:hAnsi="Calibri"/>
          <w:b w:val="0"/>
          <w:color w:val="3A4A28"/>
          <w:sz w:val="17"/>
        </w:rPr>
        <w:t>StockAnalysis.com — AMX Statistics &amp; Valuation, accessed September 2026</w:t>
      </w:r>
    </w:p>
    <w:p>
      <w:pPr>
        <w:spacing w:before="20" w:after="20"/>
        <w:ind w:left="170"/>
      </w:pPr>
      <w:r>
        <w:rPr>
          <w:rFonts w:ascii="Calibri" w:hAnsi="Calibri"/>
          <w:b/>
          <w:color w:val="4A6B25"/>
          <w:sz w:val="15"/>
        </w:rPr>
        <w:t xml:space="preserve">7. </w:t>
      </w:r>
      <w:r>
        <w:rPr>
          <w:rFonts w:ascii="Calibri" w:hAnsi="Calibri"/>
          <w:b w:val="0"/>
          <w:color w:val="3A4A28"/>
          <w:sz w:val="17"/>
        </w:rPr>
        <w:t>ValueRay — AMX Dividend History &amp; Analysis,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