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drawing>
          <wp:inline xmlns:a="http://schemas.openxmlformats.org/drawingml/2006/main" xmlns:pic="http://schemas.openxmlformats.org/drawingml/2006/picture">
            <wp:extent cx="1371600" cy="723227"/>
            <wp:docPr id="1" name="Picture 1"/>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1371600" cy="723227"/>
                    </a:xfrm>
                    <a:prstGeom prst="rect"/>
                  </pic:spPr>
                </pic:pic>
              </a:graphicData>
            </a:graphic>
          </wp:inline>
        </w:drawing>
      </w:r>
    </w:p>
    <w:p>
      <w:pPr>
        <w:spacing w:before="120" w:after="40"/>
      </w:pPr>
      <w:r>
        <w:rPr>
          <w:rFonts w:ascii="Calibri" w:hAnsi="Calibri"/>
          <w:b/>
          <w:color w:val="4A6B25"/>
          <w:sz w:val="56"/>
        </w:rPr>
        <w:t>AMZN</w:t>
      </w:r>
      <w:r>
        <w:rPr>
          <w:rFonts w:ascii="Calibri" w:hAnsi="Calibri"/>
          <w:b/>
          <w:color w:val="1A2010"/>
          <w:sz w:val="40"/>
        </w:rPr>
        <w:t xml:space="preserve">  Amazon.com, Inc.</w:t>
      </w:r>
    </w:p>
    <w:p>
      <w:pPr>
        <w:spacing w:after="120"/>
      </w:pPr>
      <w:r>
        <w:rPr>
          <w:rFonts w:ascii="Calibri" w:hAnsi="Calibri"/>
          <w:b/>
          <w:color w:val="6E8450"/>
          <w:sz w:val="18"/>
        </w:rPr>
        <w:t>GROWTH SLEEVE · 2026-10-03 · Inspire: -93 · MIXED</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1200" w:type="dxa"/>
      </w:tblPr>
      <w:tblGrid>
        <w:gridCol w:w="10800"/>
      </w:tblGrid>
      <w:tr>
        <w:tc>
          <w:tcPr>
            <w:tcW w:type="dxa" w:w="10800"/>
            <w:shd w:fill="FFF8E1" w:val="clear"/>
          </w:tcPr>
          <w:p>
            <w:pPr>
              <w:spacing w:before="40" w:after="40"/>
              <w:jc w:val="center"/>
            </w:pPr>
            <w:r>
              <w:rPr>
                <w:rFonts w:ascii="Calibri" w:hAnsi="Calibri"/>
                <w:b/>
                <w:color w:val="D97706"/>
                <w:sz w:val="20"/>
              </w:rPr>
              <w:t>HOLD</w:t>
            </w:r>
          </w:p>
        </w:tc>
      </w:tr>
    </w:tbl>
    <w:p>
      <w:pPr>
        <w:spacing w:before="120" w:after="200"/>
      </w:pPr>
      <w:r>
        <w:rPr>
          <w:rFonts w:ascii="Calibri" w:hAnsi="Calibri"/>
          <w:b/>
          <w:color w:val="1A2010"/>
          <w:sz w:val="80"/>
        </w:rPr>
        <w:t>76</w:t>
      </w:r>
      <w:r>
        <w:rPr>
          <w:rFonts w:ascii="Calibri" w:hAnsi="Calibri"/>
          <w:b w:val="0"/>
          <w:color w:val="9DAF88"/>
          <w:sz w:val="28"/>
        </w:rPr>
        <w:t xml:space="preserve"> / </w:t>
      </w:r>
      <w:r>
        <w:rPr>
          <w:rFonts w:ascii="Calibri" w:hAnsi="Calibri"/>
          <w:b w:val="0"/>
          <w:color w:val="9DAF88"/>
          <w:sz w:val="24"/>
        </w:rPr>
        <w:t>100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COMPANY PROFILE</w:t>
            </w:r>
          </w:p>
        </w:tc>
      </w:tr>
    </w:tbl>
    <w:p>
      <w:r>
        <w:rPr>
          <w:rFonts w:ascii="Calibri" w:hAnsi="Calibri"/>
          <w:b/>
          <w:color w:val="6E8450"/>
          <w:sz w:val="18"/>
        </w:rPr>
        <w:t>Consumer Cyclical · Internet Retail · NMS · United States</w:t>
      </w:r>
    </w:p>
    <w:p>
      <w:pPr>
        <w:spacing w:after="80"/>
      </w:pPr>
      <w:r>
        <w:rPr>
          <w:rFonts w:ascii="Calibri" w:hAnsi="Calibri"/>
          <w:b w:val="0"/>
          <w:color w:val="3A4A28"/>
          <w:sz w:val="20"/>
        </w:rPr>
        <w:t>Amazon operates global e-commerce, advertising, subscription (Prime), and AWS cloud and AI infrastructure businesses. Q2 2026 net sales were $200.6B (up 20%), the first $200B quarter, with AWS revenue of $42.2B growing 37% at a 39.4% operating margin [1].</w:t>
      </w:r>
    </w:p>
    <w:p>
      <w:r>
        <w:rPr>
          <w:rFonts w:ascii="Calibri" w:hAnsi="Calibri"/>
          <w:b/>
          <w:color w:val="6E8450"/>
          <w:sz w:val="18"/>
        </w:rPr>
        <w:t>1,550,000 Employees · https://www.aboutamazon.com</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EXCELLENCE EVALUATION — THINK LIKE AN OWNER (50%)</w:t>
            </w:r>
          </w:p>
        </w:tc>
      </w:tr>
    </w:tbl>
    <w:p>
      <w:pPr>
        <w:spacing w:before="200" w:after="40"/>
      </w:pPr>
      <w:r>
        <w:rPr>
          <w:rFonts w:ascii="Calibri" w:hAnsi="Calibri"/>
          <w:b/>
          <w:color w:val="1A2010"/>
          <w:sz w:val="22"/>
        </w:rPr>
        <w:t>Innovation</w:t>
      </w:r>
      <w:r>
        <w:rPr>
          <w:rFonts w:ascii="Calibri" w:hAnsi="Calibri"/>
          <w:b w:val="0"/>
          <w:color w:val="1A2010"/>
          <w:sz w:val="22"/>
        </w:rPr>
        <w:t xml:space="preserve">  </w:t>
      </w:r>
      <w:r>
        <w:rPr>
          <w:rFonts w:ascii="Calibri" w:hAnsi="Calibri"/>
          <w:b/>
          <w:color w:val="16A34A"/>
          <w:sz w:val="16"/>
        </w:rPr>
        <w:t xml:space="preserve"> STRONG </w:t>
      </w:r>
    </w:p>
    <w:p>
      <w:pPr>
        <w:spacing w:before="0" w:after="40"/>
      </w:pPr>
      <w:r>
        <w:rPr>
          <w:rFonts w:ascii="Calibri" w:hAnsi="Calibri"/>
          <w:b/>
          <w:color w:val="16A34A"/>
          <w:sz w:val="28"/>
        </w:rPr>
        <w:t>9</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4961"/>
            <w:shd w:fill="16A34A" w:val="clear"/>
          </w:tcPr>
          <w:p>
            <w:pPr>
              <w:spacing w:before="0" w:after="0"/>
            </w:pPr>
            <w:r>
              <w:rPr>
                <w:rFonts w:ascii="Calibri" w:hAnsi="Calibri"/>
                <w:b w:val="0"/>
                <w:color w:val="1A2010"/>
                <w:sz w:val="4"/>
              </w:rPr>
            </w:r>
          </w:p>
        </w:tc>
        <w:tc>
          <w:tcPr>
            <w:tcW w:type="dxa" w:w="551"/>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Track Record (3/3): Amazon reinvented itself repeatedly: AWS created the cloud category, Prime reshaped retail loyalty, and custom Trainium silicon plus Bedrock extended AWS into AI infrastructure [1]. AI Deployment (2/2): AWS's AI business and its chips each exceed $25B in annualized revenue, more than doubling YoY [1]. Market Share (2/2): Largest global cloud provider with AWS growth accelerating five straight quarters (17% to 37%) and the leading U.S. e-commerce platform [1]. Pipeline (1/2): Continued custom-chip generations and Alexa/agentic shopping efforts exist, but dated product-level visibility was limited in research [2]. R&amp;D (1/1): Technology and infrastructure spend is among the largest of any company, above retail peers [1].</w:t>
      </w:r>
    </w:p>
    <w:p>
      <w:pPr>
        <w:spacing w:before="200" w:after="40"/>
      </w:pPr>
      <w:r>
        <w:rPr>
          <w:rFonts w:ascii="Calibri" w:hAnsi="Calibri"/>
          <w:b/>
          <w:color w:val="1A2010"/>
          <w:sz w:val="22"/>
        </w:rPr>
        <w:t>Inspiration</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4</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205"/>
            <w:shd w:fill="B8860B" w:val="clear"/>
          </w:tcPr>
          <w:p>
            <w:pPr>
              <w:spacing w:before="0" w:after="0"/>
            </w:pPr>
            <w:r>
              <w:rPr>
                <w:rFonts w:ascii="Calibri" w:hAnsi="Calibri"/>
                <w:b w:val="0"/>
                <w:color w:val="1A2010"/>
                <w:sz w:val="4"/>
              </w:rPr>
            </w:r>
          </w:p>
        </w:tc>
        <w:tc>
          <w:tcPr>
            <w:tcW w:type="dxa" w:w="3307"/>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Mission Floor (2/4): The aim to be Earth's most customer-centric company is distinctive and executed through the Day 1 culture, but it is customer-service oriented rather than a broader purpose [2]. Community (2/2): Programs such as the multibillion-dollar Housing Equity Fund and Career Choice have specific dollar commitments, though they are not drawn from the research set. Retention (0/2): Jassy's cuts of about 14,000 corporate roles and reports of poor morale and AI talent leaving point to weak retention [2]. Insider Buying (0/2): Insider activity is dominated by sales; no net buying was found.</w:t>
      </w:r>
    </w:p>
    <w:p>
      <w:pPr>
        <w:spacing w:before="200" w:after="40"/>
      </w:pPr>
      <w:r>
        <w:rPr>
          <w:rFonts w:ascii="Calibri" w:hAnsi="Calibri"/>
          <w:b/>
          <w:color w:val="1A2010"/>
          <w:sz w:val="22"/>
        </w:rPr>
        <w:t>Infrastructure</w:t>
      </w:r>
      <w:r>
        <w:rPr>
          <w:rFonts w:ascii="Calibri" w:hAnsi="Calibri"/>
          <w:b w:val="0"/>
          <w:color w:val="1A2010"/>
          <w:sz w:val="22"/>
        </w:rPr>
        <w:t xml:space="preserve">  </w:t>
      </w:r>
      <w:r>
        <w:rPr>
          <w:rFonts w:ascii="Calibri" w:hAnsi="Calibri"/>
          <w:b/>
          <w:color w:val="16A34A"/>
          <w:sz w:val="16"/>
        </w:rPr>
        <w:t xml:space="preserve"> STRONG </w:t>
      </w:r>
    </w:p>
    <w:p>
      <w:pPr>
        <w:spacing w:before="0" w:after="40"/>
      </w:pPr>
      <w:r>
        <w:rPr>
          <w:rFonts w:ascii="Calibri" w:hAnsi="Calibri"/>
          <w:b/>
          <w:color w:val="16A34A"/>
          <w:sz w:val="28"/>
        </w:rPr>
        <w:t>10</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5512"/>
            <w:shd w:fill="16A34A" w:val="clear"/>
          </w:tcPr>
          <w:p>
            <w:pPr>
              <w:spacing w:before="0" w:after="0"/>
            </w:pPr>
            <w:r>
              <w:rPr>
                <w:rFonts w:ascii="Calibri" w:hAnsi="Calibri"/>
                <w:b w:val="0"/>
                <w:color w:val="1A2010"/>
                <w:sz w:val="4"/>
              </w:rPr>
            </w:r>
          </w:p>
        </w:tc>
        <w:tc>
          <w:tcPr>
            <w:tcW w:type="dxa" w:w="0"/>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Mechanically scored as a Growth stock. D/E of 45.6% (score 1.0), ROE of 30.6% (1.0, 2x weight), revenue growth of 19.6% YoY (1.0), and a 5-year revenue CAGR near 13% (1.0, 2x weight) all meet targets [1]. Forward P/E of 24.0 scores 0.90 and profit margin of 17.4% scores 0.87. PEG is unavailable and excluded. Weighted 7.77 of 8 = 9.7, scored 10. Daily dollar volume near $9.9B gives maximum liquidity.</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FINITE VS INFINITE GAME — SINEK (25%)</w:t>
            </w:r>
          </w:p>
        </w:tc>
      </w:tr>
    </w:tbl>
    <w:p>
      <w:pPr>
        <w:spacing w:after="40"/>
      </w:pPr>
      <w:r>
        <w:rPr>
          <w:rFonts w:ascii="Calibri" w:hAnsi="Calibri"/>
          <w:b w:val="0"/>
          <w:color w:val="6E8450"/>
          <w:sz w:val="22"/>
        </w:rPr>
        <w:t xml:space="preserve">Mindset: </w:t>
      </w:r>
      <w:r>
        <w:rPr>
          <w:rFonts w:ascii="Calibri" w:hAnsi="Calibri"/>
          <w:b/>
          <w:color w:val="B8860B"/>
          <w:sz w:val="22"/>
        </w:rPr>
        <w:t>MIXED</w:t>
      </w:r>
      <w:r>
        <w:rPr>
          <w:rFonts w:ascii="Calibri" w:hAnsi="Calibri"/>
          <w:b w:val="0"/>
          <w:color w:val="6E8450"/>
          <w:sz w:val="22"/>
        </w:rPr>
        <w:t xml:space="preserve">      Overall: </w:t>
      </w:r>
      <w:r>
        <w:rPr>
          <w:rFonts w:ascii="Calibri" w:hAnsi="Calibri"/>
          <w:b/>
          <w:color w:val="16A34A"/>
          <w:sz w:val="28"/>
        </w:rPr>
        <w:t>7</w:t>
      </w:r>
      <w:r>
        <w:rPr>
          <w:rFonts w:ascii="Calibri" w:hAnsi="Calibri"/>
          <w:b w:val="0"/>
          <w:color w:val="9DAF88"/>
          <w:sz w:val="18"/>
        </w:rPr>
        <w:t xml:space="preserve"> /10</w:t>
      </w:r>
    </w:p>
    <w:p>
      <w:pPr>
        <w:spacing w:after="120"/>
      </w:pPr>
      <w:r>
        <w:rPr>
          <w:rFonts w:ascii="Calibri" w:hAnsi="Calibri"/>
          <w:b w:val="0"/>
          <w:color w:val="3A4A28"/>
          <w:sz w:val="18"/>
        </w:rPr>
        <w:t>Amazon has a three-decade customer-obsession cause and has reinvented itself through AWS and now AI infrastructure, funding long-horizon bets at scale. The weak point is the circle of safety: mass corporate layoffs and a culture reset have damaged internal trust.</w:t>
      </w:r>
    </w:p>
    <w:p>
      <w:pPr>
        <w:spacing w:before="200" w:after="40"/>
      </w:pPr>
      <w:r>
        <w:rPr>
          <w:rFonts w:ascii="Calibri" w:hAnsi="Calibri"/>
          <w:b/>
          <w:color w:val="1A2010"/>
          <w:sz w:val="22"/>
        </w:rPr>
        <w:t>Just Cause</w:t>
      </w:r>
    </w:p>
    <w:p>
      <w:pPr>
        <w:spacing w:before="0" w:after="40"/>
      </w:pPr>
      <w:r>
        <w:rPr>
          <w:rFonts w:ascii="Calibri" w:hAnsi="Calibri"/>
          <w:b/>
          <w:color w:val="DC2626"/>
          <w:sz w:val="28"/>
        </w:rPr>
        <w:t>2</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102"/>
            <w:shd w:fill="DC2626" w:val="clear"/>
          </w:tcPr>
          <w:p>
            <w:pPr>
              <w:spacing w:before="0" w:after="0"/>
            </w:pPr>
            <w:r>
              <w:rPr>
                <w:rFonts w:ascii="Calibri" w:hAnsi="Calibri"/>
                <w:b w:val="0"/>
                <w:color w:val="1A2010"/>
                <w:sz w:val="4"/>
              </w:rPr>
            </w:r>
          </w:p>
        </w:tc>
        <w:tc>
          <w:tcPr>
            <w:tcW w:type="dxa" w:w="4409"/>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Just Cause (2/3): The customer-obsession and Day 1 purpose has persisted across three decades and a CEO transition from Bezos to Jassy, shaping AWS, Prime, and long-term capex [2]. It is customer-centric rather than a bold societal future state, so it falls short of 3.</w:t>
      </w:r>
    </w:p>
    <w:p>
      <w:pPr>
        <w:spacing w:before="200" w:after="40"/>
      </w:pPr>
      <w:r>
        <w:rPr>
          <w:rFonts w:ascii="Calibri" w:hAnsi="Calibri"/>
          <w:b/>
          <w:color w:val="1A2010"/>
          <w:sz w:val="22"/>
        </w:rPr>
        <w:t>Trusting Teams</w:t>
      </w:r>
    </w:p>
    <w:p>
      <w:pPr>
        <w:spacing w:before="0" w:after="40"/>
      </w:pPr>
      <w:r>
        <w:rPr>
          <w:rFonts w:ascii="Calibri" w:hAnsi="Calibri"/>
          <w:b/>
          <w:color w:val="DC2626"/>
          <w:sz w:val="28"/>
        </w:rPr>
        <w:t>0</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55"/>
            <w:shd w:fill="DC2626" w:val="clear"/>
          </w:tcPr>
          <w:p>
            <w:pPr>
              <w:spacing w:before="0" w:after="0"/>
            </w:pPr>
            <w:r>
              <w:rPr>
                <w:rFonts w:ascii="Calibri" w:hAnsi="Calibri"/>
                <w:b w:val="0"/>
                <w:color w:val="1A2010"/>
                <w:sz w:val="4"/>
              </w:rPr>
            </w:r>
          </w:p>
        </w:tc>
        <w:tc>
          <w:tcPr>
            <w:tcW w:type="dxa" w:w="5457"/>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Trusting Teams (0/2): About 14,000 corporate job cuts, a hard return-to-office pivot, a 15% higher worker-to-manager ratio, and reports of poor morale describe a low-safety environment [2].</w:t>
      </w:r>
    </w:p>
    <w:p>
      <w:pPr>
        <w:spacing w:before="200" w:after="40"/>
      </w:pPr>
      <w:r>
        <w:rPr>
          <w:rFonts w:ascii="Calibri" w:hAnsi="Calibri"/>
          <w:b/>
          <w:color w:val="1A2010"/>
          <w:sz w:val="22"/>
        </w:rPr>
        <w:t>Worthy Rivals</w:t>
      </w:r>
    </w:p>
    <w:p>
      <w:pPr>
        <w:spacing w:before="0" w:after="40"/>
      </w:pPr>
      <w:r>
        <w:rPr>
          <w:rFonts w:ascii="Calibri" w:hAnsi="Calibri"/>
          <w:b/>
          <w:color w:val="DC2626"/>
          <w:sz w:val="28"/>
        </w:rPr>
        <w:t>1</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551"/>
            <w:shd w:fill="DC2626" w:val="clear"/>
          </w:tcPr>
          <w:p>
            <w:pPr>
              <w:spacing w:before="0" w:after="0"/>
            </w:pPr>
            <w:r>
              <w:rPr>
                <w:rFonts w:ascii="Calibri" w:hAnsi="Calibri"/>
                <w:b w:val="0"/>
                <w:color w:val="1A2010"/>
                <w:sz w:val="4"/>
              </w:rPr>
            </w:r>
          </w:p>
        </w:tc>
        <w:tc>
          <w:tcPr>
            <w:tcW w:type="dxa" w:w="4961"/>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Worthy Rivals (1/1): Amazon's stated principle is to obsess over customers rather than competitors, and AWS openly partners with and hosts rivals' models, which fits an infinite competitive frame [2].</w:t>
      </w:r>
    </w:p>
    <w:p>
      <w:pPr>
        <w:spacing w:before="200" w:after="40"/>
      </w:pPr>
      <w:r>
        <w:rPr>
          <w:rFonts w:ascii="Calibri" w:hAnsi="Calibri"/>
          <w:b/>
          <w:color w:val="1A2010"/>
          <w:sz w:val="22"/>
        </w:rPr>
        <w:t>Existential Flexibility</w:t>
      </w:r>
    </w:p>
    <w:p>
      <w:pPr>
        <w:spacing w:before="0" w:after="40"/>
      </w:pPr>
      <w:r>
        <w:rPr>
          <w:rFonts w:ascii="Calibri" w:hAnsi="Calibri"/>
          <w:b/>
          <w:color w:val="DC2626"/>
          <w:sz w:val="28"/>
        </w:rPr>
        <w:t>2</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102"/>
            <w:shd w:fill="DC2626" w:val="clear"/>
          </w:tcPr>
          <w:p>
            <w:pPr>
              <w:spacing w:before="0" w:after="0"/>
            </w:pPr>
            <w:r>
              <w:rPr>
                <w:rFonts w:ascii="Calibri" w:hAnsi="Calibri"/>
                <w:b w:val="0"/>
                <w:color w:val="1A2010"/>
                <w:sz w:val="4"/>
              </w:rPr>
            </w:r>
          </w:p>
        </w:tc>
        <w:tc>
          <w:tcPr>
            <w:tcW w:type="dxa" w:w="4409"/>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Existential Flexibility (2/2): Amazon moved from bookseller to marketplace to AWS cloud to AI silicon and models, repeatedly accepting years of losses to build new businesses, with AWS now a $42.2B quarterly segment [1].</w:t>
      </w:r>
    </w:p>
    <w:p>
      <w:pPr>
        <w:spacing w:before="200" w:after="40"/>
      </w:pPr>
      <w:r>
        <w:rPr>
          <w:rFonts w:ascii="Calibri" w:hAnsi="Calibri"/>
          <w:b/>
          <w:color w:val="1A2010"/>
          <w:sz w:val="22"/>
        </w:rPr>
        <w:t>Courage To Lead</w:t>
      </w:r>
    </w:p>
    <w:p>
      <w:pPr>
        <w:spacing w:before="0" w:after="40"/>
      </w:pPr>
      <w:r>
        <w:rPr>
          <w:rFonts w:ascii="Calibri" w:hAnsi="Calibri"/>
          <w:b/>
          <w:color w:val="DC2626"/>
          <w:sz w:val="28"/>
        </w:rPr>
        <w:t>2</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102"/>
            <w:shd w:fill="DC2626" w:val="clear"/>
          </w:tcPr>
          <w:p>
            <w:pPr>
              <w:spacing w:before="0" w:after="0"/>
            </w:pPr>
            <w:r>
              <w:rPr>
                <w:rFonts w:ascii="Calibri" w:hAnsi="Calibri"/>
                <w:b w:val="0"/>
                <w:color w:val="1A2010"/>
                <w:sz w:val="4"/>
              </w:rPr>
            </w:r>
          </w:p>
        </w:tc>
        <w:tc>
          <w:tcPr>
            <w:tcW w:type="dxa" w:w="4409"/>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Courage to Lead (2/2): Management sustains massive AI and infrastructure investment, built AWS when investors wanted retail margins, and is rebuilding culture through cost discipline despite morale cost [1][2].</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INVESTMENT THESIS</w:t>
            </w:r>
          </w:p>
        </w:tc>
      </w:tr>
    </w:tbl>
    <w:p>
      <w:pPr>
        <w:spacing w:after="120"/>
      </w:pPr>
      <w:r>
        <w:rPr>
          <w:rFonts w:ascii="Calibri" w:hAnsi="Calibri"/>
          <w:b w:val="0"/>
          <w:color w:val="3A4A28"/>
          <w:sz w:val="20"/>
        </w:rPr>
        <w:t>Amazon at $251.52 (market cap about $2.7T) is executing a broad reacceleration: Q2 2026 net sales hit $200.6B (up 20%, $4B above consensus) and AWS growth accelerated for a fifth straight quarter to 37%, its fastest in 18 quarters, at a 39.4% operating margin ($16.6B). AWS AI and its custom chips each exceed $25B annualized revenue, and ROE of 30.6% with D/E of 45.6% shows capital-efficient scale [1].</w:t>
      </w:r>
    </w:p>
    <w:p>
      <w:pPr>
        <w:spacing w:after="120"/>
      </w:pPr>
      <w:r>
        <w:rPr>
          <w:rFonts w:ascii="Calibri" w:hAnsi="Calibri"/>
          <w:b w:val="0"/>
          <w:color w:val="3A4A28"/>
          <w:sz w:val="20"/>
        </w:rPr>
        <w:t>The bear case is capital intensity and culture. Forward P/E of 24 is not demanding, but the AI capex cycle compresses free cash flow and any slowdown in AWS demand would hit the highest-margin segment. Corporate layoffs of about 14,000, poor morale, and AI talent leaving to rivals threaten execution, while ESG and labor scrutiny (warehouse injury rates nearly double the industry average in 2021) and antitrust attention add regulatory risk [2][3].</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KEY CATALYSTS</w:t>
            </w:r>
          </w:p>
        </w:tc>
      </w:tr>
    </w:tbl>
    <w:p>
      <w:pPr>
        <w:spacing w:before="40" w:after="40"/>
        <w:ind w:left="283"/>
      </w:pPr>
      <w:r>
        <w:rPr>
          <w:rFonts w:ascii="Calibri" w:hAnsi="Calibri"/>
          <w:b/>
          <w:color w:val="4A6B25"/>
          <w:sz w:val="20"/>
        </w:rPr>
        <w:t xml:space="preserve">1. </w:t>
      </w:r>
      <w:r>
        <w:rPr>
          <w:rFonts w:ascii="Calibri" w:hAnsi="Calibri"/>
          <w:b w:val="0"/>
          <w:color w:val="3A4A28"/>
          <w:sz w:val="20"/>
        </w:rPr>
        <w:t>AWS growth acceleration (17% to 37% over five quarters) and a $25B+ AI and chip run rate expanding as capacity comes online [1]</w:t>
      </w:r>
    </w:p>
    <w:p>
      <w:pPr>
        <w:spacing w:before="40" w:after="40"/>
        <w:ind w:left="283"/>
      </w:pPr>
      <w:r>
        <w:rPr>
          <w:rFonts w:ascii="Calibri" w:hAnsi="Calibri"/>
          <w:b/>
          <w:color w:val="4A6B25"/>
          <w:sz w:val="20"/>
        </w:rPr>
        <w:t xml:space="preserve">2. </w:t>
      </w:r>
      <w:r>
        <w:rPr>
          <w:rFonts w:ascii="Calibri" w:hAnsi="Calibri"/>
          <w:b w:val="0"/>
          <w:color w:val="3A4A28"/>
          <w:sz w:val="20"/>
        </w:rPr>
        <w:t>Total revenue crossing $200B in a quarter with AWS operating income up from $10.2B to $16.6B, driving margin expansion [1]</w:t>
      </w:r>
    </w:p>
    <w:p>
      <w:pPr>
        <w:spacing w:before="40" w:after="40"/>
        <w:ind w:left="283"/>
      </w:pPr>
      <w:r>
        <w:rPr>
          <w:rFonts w:ascii="Calibri" w:hAnsi="Calibri"/>
          <w:b/>
          <w:color w:val="4A6B25"/>
          <w:sz w:val="20"/>
        </w:rPr>
        <w:t xml:space="preserve">3. </w:t>
      </w:r>
      <w:r>
        <w:rPr>
          <w:rFonts w:ascii="Calibri" w:hAnsi="Calibri"/>
          <w:b w:val="0"/>
          <w:color w:val="3A4A28"/>
          <w:sz w:val="20"/>
        </w:rPr>
        <w:t>Cost discipline and a leaner management structure under Jassy lifting retail and advertising profitability [2]</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DC2626"/>
            </w:tcBorders>
          </w:tcPr>
          <w:p>
            <w:pPr>
              <w:spacing w:before="240" w:after="80"/>
            </w:pPr>
            <w:r>
              <w:rPr>
                <w:rFonts w:ascii="Calibri" w:hAnsi="Calibri"/>
                <w:b/>
                <w:color w:val="6E8450"/>
                <w:sz w:val="17"/>
              </w:rPr>
              <w:t>KEY RISKS</w:t>
            </w:r>
          </w:p>
        </w:tc>
      </w:tr>
    </w:tbl>
    <w:p>
      <w:pPr>
        <w:spacing w:before="40" w:after="40"/>
        <w:ind w:left="283"/>
      </w:pPr>
      <w:r>
        <w:rPr>
          <w:rFonts w:ascii="Calibri" w:hAnsi="Calibri"/>
          <w:b/>
          <w:color w:val="4A6B25"/>
          <w:sz w:val="20"/>
        </w:rPr>
        <w:t xml:space="preserve">1. </w:t>
      </w:r>
      <w:r>
        <w:rPr>
          <w:rFonts w:ascii="Calibri" w:hAnsi="Calibri"/>
          <w:b w:val="0"/>
          <w:color w:val="3A4A28"/>
          <w:sz w:val="20"/>
        </w:rPr>
        <w:t>AI capex intensity and AWS reliance: AWS generates $16.6B of quarterly operating income, so any demand deceleration or share loss to Microsoft and Google hits earnings disproportionately [1]</w:t>
      </w:r>
    </w:p>
    <w:p>
      <w:pPr>
        <w:spacing w:before="40" w:after="40"/>
        <w:ind w:left="283"/>
      </w:pPr>
      <w:r>
        <w:rPr>
          <w:rFonts w:ascii="Calibri" w:hAnsi="Calibri"/>
          <w:b/>
          <w:color w:val="4A6B25"/>
          <w:sz w:val="20"/>
        </w:rPr>
        <w:t xml:space="preserve">2. </w:t>
      </w:r>
      <w:r>
        <w:rPr>
          <w:rFonts w:ascii="Calibri" w:hAnsi="Calibri"/>
          <w:b w:val="0"/>
          <w:color w:val="3A4A28"/>
          <w:sz w:val="20"/>
        </w:rPr>
        <w:t>Culture and talent risk: roughly 14,000 corporate cuts, reported poor morale, and top AI talent leaving for rivals and startups [2]</w:t>
      </w:r>
    </w:p>
    <w:p>
      <w:pPr>
        <w:spacing w:before="40" w:after="40"/>
        <w:ind w:left="283"/>
      </w:pPr>
      <w:r>
        <w:rPr>
          <w:rFonts w:ascii="Calibri" w:hAnsi="Calibri"/>
          <w:b/>
          <w:color w:val="4A6B25"/>
          <w:sz w:val="20"/>
        </w:rPr>
        <w:t xml:space="preserve">3. </w:t>
      </w:r>
      <w:r>
        <w:rPr>
          <w:rFonts w:ascii="Calibri" w:hAnsi="Calibri"/>
          <w:b w:val="0"/>
          <w:color w:val="3A4A28"/>
          <w:sz w:val="20"/>
        </w:rPr>
        <w:t>Labor, safety, and regulatory scrutiny, including warehouse injury rates and antitrust and ESG pressure that could raise costs [3]</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AI RESILIENCE (25%)</w:t>
            </w:r>
          </w:p>
        </w:tc>
      </w:tr>
    </w:tbl>
    <w:p>
      <w:pPr>
        <w:spacing w:before="200" w:after="40"/>
      </w:pPr>
      <w:r>
        <w:rPr>
          <w:rFonts w:ascii="Calibri" w:hAnsi="Calibri"/>
          <w:b/>
          <w:color w:val="1A2010"/>
          <w:sz w:val="22"/>
        </w:rPr>
        <w:t>AI Resilience</w:t>
      </w:r>
      <w:r>
        <w:rPr>
          <w:rFonts w:ascii="Calibri" w:hAnsi="Calibri"/>
          <w:b w:val="0"/>
          <w:color w:val="1A2010"/>
          <w:sz w:val="22"/>
        </w:rPr>
        <w:t xml:space="preserve">  </w:t>
      </w:r>
      <w:r>
        <w:rPr>
          <w:rFonts w:ascii="Calibri" w:hAnsi="Calibri"/>
          <w:b/>
          <w:color w:val="16A34A"/>
          <w:sz w:val="16"/>
        </w:rPr>
        <w:t xml:space="preserve"> LOW RISK </w:t>
      </w:r>
    </w:p>
    <w:p>
      <w:pPr>
        <w:spacing w:before="0" w:after="40"/>
      </w:pPr>
      <w:r>
        <w:rPr>
          <w:rFonts w:ascii="Calibri" w:hAnsi="Calibri"/>
          <w:b/>
          <w:color w:val="16A34A"/>
          <w:sz w:val="28"/>
        </w:rPr>
        <w:t>8</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4409"/>
            <w:shd w:fill="16A34A" w:val="clear"/>
          </w:tcPr>
          <w:p>
            <w:pPr>
              <w:spacing w:before="0" w:after="0"/>
            </w:pPr>
            <w:r>
              <w:rPr>
                <w:rFonts w:ascii="Calibri" w:hAnsi="Calibri"/>
                <w:b w:val="0"/>
                <w:color w:val="1A2010"/>
                <w:sz w:val="4"/>
              </w:rPr>
            </w:r>
          </w:p>
        </w:tc>
        <w:tc>
          <w:tcPr>
            <w:tcW w:type="dxa" w:w="1102"/>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AI Risk Protection (7/9): Amazon is a net AI beneficiary: AWS supplies the compute and custom chips AI runs on, and logistics, fulfillment, and data centers are physical assets AI cannot replace [1]. The residual risk is agentic shopping and AI assistants bypassing Amazon's storefront and retail media business, and AWS is described as an incumbent defending its turf in an age of disruption [2]. AI Opportunity (1/1): AWS AI revenue and Trainium chips each exceed $25B in annualized revenue [1].</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FAITH ALIGNMENT — INSPIRE INSIGHT</w:t>
            </w:r>
          </w:p>
        </w:tc>
      </w:tr>
    </w:tbl>
    <w:p>
      <w:pPr>
        <w:spacing w:after="40"/>
      </w:pPr>
      <w:r>
        <w:rPr>
          <w:rFonts w:ascii="Calibri" w:hAnsi="Calibri"/>
          <w:b w:val="0"/>
          <w:color w:val="6E8450"/>
          <w:sz w:val="22"/>
        </w:rPr>
        <w:t xml:space="preserve">Inspire Impact Score:  </w:t>
      </w:r>
      <w:r>
        <w:rPr>
          <w:rFonts w:ascii="Calibri" w:hAnsi="Calibri"/>
          <w:b/>
          <w:color w:val="DC2626"/>
          <w:sz w:val="28"/>
        </w:rPr>
        <w:t>-93</w:t>
      </w:r>
      <w:r>
        <w:rPr>
          <w:rFonts w:ascii="Calibri" w:hAnsi="Calibri"/>
          <w:b/>
          <w:color w:val="B8860B"/>
          <w:sz w:val="20"/>
        </w:rPr>
        <w:t xml:space="preserve">    MISALIGNED</w:t>
      </w:r>
    </w:p>
    <w:p>
      <w:pPr>
        <w:spacing w:before="80" w:after="40"/>
      </w:pPr>
      <w:r>
        <w:rPr>
          <w:rFonts w:ascii="Calibri" w:hAnsi="Calibri"/>
          <w:b/>
          <w:color w:val="6E8450"/>
          <w:sz w:val="18"/>
        </w:rPr>
        <w:t xml:space="preserve">Negative: </w:t>
      </w:r>
      <w:r>
        <w:rPr>
          <w:rFonts w:ascii="Calibri" w:hAnsi="Calibri"/>
          <w:b/>
          <w:color w:val="DC2626"/>
          <w:sz w:val="17"/>
        </w:rPr>
        <w:t xml:space="preserve"> Abortifacients </w:t>
      </w:r>
      <w:r>
        <w:rPr>
          <w:rFonts w:ascii="Calibri" w:hAnsi="Calibri"/>
          <w:b w:val="0"/>
          <w:color w:val="9DAF88"/>
          <w:sz w:val="17"/>
        </w:rPr>
        <w:t xml:space="preserve">  ·  </w:t>
      </w:r>
      <w:r>
        <w:rPr>
          <w:rFonts w:ascii="Calibri" w:hAnsi="Calibri"/>
          <w:b/>
          <w:color w:val="DC2626"/>
          <w:sz w:val="17"/>
        </w:rPr>
        <w:t xml:space="preserve"> Abortion Activism </w:t>
      </w:r>
      <w:r>
        <w:rPr>
          <w:rFonts w:ascii="Calibri" w:hAnsi="Calibri"/>
          <w:b w:val="0"/>
          <w:color w:val="9DAF88"/>
          <w:sz w:val="17"/>
        </w:rPr>
        <w:t xml:space="preserve">  ·  </w:t>
      </w:r>
      <w:r>
        <w:rPr>
          <w:rFonts w:ascii="Calibri" w:hAnsi="Calibri"/>
          <w:b/>
          <w:color w:val="DC2626"/>
          <w:sz w:val="17"/>
        </w:rPr>
        <w:t xml:space="preserve"> LGBT Activism </w:t>
      </w:r>
      <w:r>
        <w:rPr>
          <w:rFonts w:ascii="Calibri" w:hAnsi="Calibri"/>
          <w:b w:val="0"/>
          <w:color w:val="9DAF88"/>
          <w:sz w:val="17"/>
        </w:rPr>
        <w:t xml:space="preserve">  ·  </w:t>
      </w:r>
      <w:r>
        <w:rPr>
          <w:rFonts w:ascii="Calibri" w:hAnsi="Calibri"/>
          <w:b/>
          <w:color w:val="DC2626"/>
          <w:sz w:val="17"/>
        </w:rPr>
        <w:t xml:space="preserve"> Sexually Explicit </w:t>
      </w:r>
    </w:p>
    <w:p>
      <w:pPr>
        <w:spacing w:before="80" w:after="40"/>
      </w:pPr>
      <w:r>
        <w:rPr>
          <w:rFonts w:ascii="Calibri" w:hAnsi="Calibri"/>
          <w:b/>
          <w:color w:val="6E8450"/>
          <w:sz w:val="18"/>
        </w:rPr>
        <w:t xml:space="preserve">Positive: </w:t>
      </w:r>
      <w:r>
        <w:rPr>
          <w:rFonts w:ascii="Calibri" w:hAnsi="Calibri"/>
          <w:b/>
          <w:color w:val="16A34A"/>
          <w:sz w:val="17"/>
        </w:rPr>
        <w:t xml:space="preserve"> Business Ethics </w:t>
      </w:r>
      <w:r>
        <w:rPr>
          <w:rFonts w:ascii="Calibri" w:hAnsi="Calibri"/>
          <w:b w:val="0"/>
          <w:color w:val="9DAF88"/>
          <w:sz w:val="17"/>
        </w:rPr>
        <w:t xml:space="preserve">  ·  </w:t>
      </w:r>
      <w:r>
        <w:rPr>
          <w:rFonts w:ascii="Calibri" w:hAnsi="Calibri"/>
          <w:b/>
          <w:color w:val="16A34A"/>
          <w:sz w:val="17"/>
        </w:rPr>
        <w:t xml:space="preserve"> Business Resilience </w:t>
      </w:r>
      <w:r>
        <w:rPr>
          <w:rFonts w:ascii="Calibri" w:hAnsi="Calibri"/>
          <w:b w:val="0"/>
          <w:color w:val="9DAF88"/>
          <w:sz w:val="17"/>
        </w:rPr>
        <w:t xml:space="preserve">  ·  </w:t>
      </w:r>
      <w:r>
        <w:rPr>
          <w:rFonts w:ascii="Calibri" w:hAnsi="Calibri"/>
          <w:b/>
          <w:color w:val="16A34A"/>
          <w:sz w:val="17"/>
        </w:rPr>
        <w:t xml:space="preserve"> Critical Risk Management </w:t>
      </w:r>
      <w:r>
        <w:rPr>
          <w:rFonts w:ascii="Calibri" w:hAnsi="Calibri"/>
          <w:b w:val="0"/>
          <w:color w:val="9DAF88"/>
          <w:sz w:val="17"/>
        </w:rPr>
        <w:t xml:space="preserve">  ·  </w:t>
      </w:r>
      <w:r>
        <w:rPr>
          <w:rFonts w:ascii="Calibri" w:hAnsi="Calibri"/>
          <w:b/>
          <w:color w:val="16A34A"/>
          <w:sz w:val="17"/>
        </w:rPr>
        <w:t xml:space="preserve"> Customer Privacy </w:t>
      </w:r>
      <w:r>
        <w:rPr>
          <w:rFonts w:ascii="Calibri" w:hAnsi="Calibri"/>
          <w:b w:val="0"/>
          <w:color w:val="9DAF88"/>
          <w:sz w:val="17"/>
        </w:rPr>
        <w:t xml:space="preserve">  ·  </w:t>
      </w:r>
      <w:r>
        <w:rPr>
          <w:rFonts w:ascii="Calibri" w:hAnsi="Calibri"/>
          <w:b/>
          <w:color w:val="16A34A"/>
          <w:sz w:val="17"/>
        </w:rPr>
        <w:t xml:space="preserve"> Customer Welfare </w:t>
      </w:r>
      <w:r>
        <w:rPr>
          <w:rFonts w:ascii="Calibri" w:hAnsi="Calibri"/>
          <w:b w:val="0"/>
          <w:color w:val="9DAF88"/>
          <w:sz w:val="17"/>
        </w:rPr>
        <w:t xml:space="preserve">  ·  </w:t>
      </w:r>
      <w:r>
        <w:rPr>
          <w:rFonts w:ascii="Calibri" w:hAnsi="Calibri"/>
          <w:b/>
          <w:color w:val="16A34A"/>
          <w:sz w:val="17"/>
        </w:rPr>
        <w:t xml:space="preserve"> Data Security </w:t>
      </w:r>
      <w:r>
        <w:rPr>
          <w:rFonts w:ascii="Calibri" w:hAnsi="Calibri"/>
          <w:b w:val="0"/>
          <w:color w:val="9DAF88"/>
          <w:sz w:val="17"/>
        </w:rPr>
        <w:t xml:space="preserve">  ·  </w:t>
      </w:r>
      <w:r>
        <w:rPr>
          <w:rFonts w:ascii="Calibri" w:hAnsi="Calibri"/>
          <w:b/>
          <w:color w:val="16A34A"/>
          <w:sz w:val="17"/>
        </w:rPr>
        <w:t xml:space="preserve"> Employee Wellbeing </w:t>
      </w:r>
      <w:r>
        <w:rPr>
          <w:rFonts w:ascii="Calibri" w:hAnsi="Calibri"/>
          <w:b w:val="0"/>
          <w:color w:val="9DAF88"/>
          <w:sz w:val="17"/>
        </w:rPr>
        <w:t xml:space="preserve">  ·  </w:t>
      </w:r>
      <w:r>
        <w:rPr>
          <w:rFonts w:ascii="Calibri" w:hAnsi="Calibri"/>
          <w:b/>
          <w:color w:val="16A34A"/>
          <w:sz w:val="17"/>
        </w:rPr>
        <w:t xml:space="preserve"> Energy Management </w:t>
      </w:r>
      <w:r>
        <w:rPr>
          <w:rFonts w:ascii="Calibri" w:hAnsi="Calibri"/>
          <w:b w:val="0"/>
          <w:color w:val="9DAF88"/>
          <w:sz w:val="17"/>
        </w:rPr>
        <w:t xml:space="preserve">  ·  </w:t>
      </w:r>
      <w:r>
        <w:rPr>
          <w:rFonts w:ascii="Calibri" w:hAnsi="Calibri"/>
          <w:b/>
          <w:color w:val="16A34A"/>
          <w:sz w:val="17"/>
        </w:rPr>
        <w:t xml:space="preserve"> Environmental Risk Mitigation </w:t>
      </w:r>
      <w:r>
        <w:rPr>
          <w:rFonts w:ascii="Calibri" w:hAnsi="Calibri"/>
          <w:b w:val="0"/>
          <w:color w:val="9DAF88"/>
          <w:sz w:val="17"/>
        </w:rPr>
        <w:t xml:space="preserve">  ·  </w:t>
      </w:r>
      <w:r>
        <w:rPr>
          <w:rFonts w:ascii="Calibri" w:hAnsi="Calibri"/>
          <w:b/>
          <w:color w:val="16A34A"/>
          <w:sz w:val="17"/>
        </w:rPr>
        <w:t xml:space="preserve"> Ethical Sales Practices </w:t>
      </w:r>
      <w:r>
        <w:rPr>
          <w:rFonts w:ascii="Calibri" w:hAnsi="Calibri"/>
          <w:b w:val="0"/>
          <w:color w:val="9DAF88"/>
          <w:sz w:val="17"/>
        </w:rPr>
        <w:t xml:space="preserve">  ·  </w:t>
      </w:r>
      <w:r>
        <w:rPr>
          <w:rFonts w:ascii="Calibri" w:hAnsi="Calibri"/>
          <w:b/>
          <w:color w:val="16A34A"/>
          <w:sz w:val="17"/>
        </w:rPr>
        <w:t xml:space="preserve"> Ethical Supply Chain Management </w:t>
      </w:r>
      <w:r>
        <w:rPr>
          <w:rFonts w:ascii="Calibri" w:hAnsi="Calibri"/>
          <w:b w:val="0"/>
          <w:color w:val="9DAF88"/>
          <w:sz w:val="17"/>
        </w:rPr>
        <w:t xml:space="preserve">  ·  </w:t>
      </w:r>
      <w:r>
        <w:rPr>
          <w:rFonts w:ascii="Calibri" w:hAnsi="Calibri"/>
          <w:b/>
          <w:color w:val="16A34A"/>
          <w:sz w:val="17"/>
        </w:rPr>
        <w:t xml:space="preserve"> GHG Emissions </w:t>
      </w:r>
      <w:r>
        <w:rPr>
          <w:rFonts w:ascii="Calibri" w:hAnsi="Calibri"/>
          <w:b w:val="0"/>
          <w:color w:val="9DAF88"/>
          <w:sz w:val="17"/>
        </w:rPr>
        <w:t xml:space="preserve">  ·  </w:t>
      </w:r>
      <w:r>
        <w:rPr>
          <w:rFonts w:ascii="Calibri" w:hAnsi="Calibri"/>
          <w:b/>
          <w:color w:val="16A34A"/>
          <w:sz w:val="17"/>
        </w:rPr>
        <w:t xml:space="preserve"> Hiring Ethics </w:t>
      </w:r>
      <w:r>
        <w:rPr>
          <w:rFonts w:ascii="Calibri" w:hAnsi="Calibri"/>
          <w:b w:val="0"/>
          <w:color w:val="9DAF88"/>
          <w:sz w:val="17"/>
        </w:rPr>
        <w:t xml:space="preserve">  ·  </w:t>
      </w:r>
      <w:r>
        <w:rPr>
          <w:rFonts w:ascii="Calibri" w:hAnsi="Calibri"/>
          <w:b/>
          <w:color w:val="16A34A"/>
          <w:sz w:val="17"/>
        </w:rPr>
        <w:t xml:space="preserve"> Low Ecological Impact </w:t>
      </w:r>
      <w:r>
        <w:rPr>
          <w:rFonts w:ascii="Calibri" w:hAnsi="Calibri"/>
          <w:b w:val="0"/>
          <w:color w:val="9DAF88"/>
          <w:sz w:val="17"/>
        </w:rPr>
        <w:t xml:space="preserve">  ·  </w:t>
      </w:r>
      <w:r>
        <w:rPr>
          <w:rFonts w:ascii="Calibri" w:hAnsi="Calibri"/>
          <w:b/>
          <w:color w:val="16A34A"/>
          <w:sz w:val="17"/>
        </w:rPr>
        <w:t xml:space="preserve"> Materials Efficiency </w:t>
      </w:r>
      <w:r>
        <w:rPr>
          <w:rFonts w:ascii="Calibri" w:hAnsi="Calibri"/>
          <w:b w:val="0"/>
          <w:color w:val="9DAF88"/>
          <w:sz w:val="17"/>
        </w:rPr>
        <w:t xml:space="preserve">  ·  </w:t>
      </w:r>
      <w:r>
        <w:rPr>
          <w:rFonts w:ascii="Calibri" w:hAnsi="Calibri"/>
          <w:b/>
          <w:color w:val="16A34A"/>
          <w:sz w:val="17"/>
        </w:rPr>
        <w:t xml:space="preserve"> Product Access and Affordability </w:t>
      </w:r>
      <w:r>
        <w:rPr>
          <w:rFonts w:ascii="Calibri" w:hAnsi="Calibri"/>
          <w:b w:val="0"/>
          <w:color w:val="9DAF88"/>
          <w:sz w:val="17"/>
        </w:rPr>
        <w:t xml:space="preserve">  ·  </w:t>
      </w:r>
      <w:r>
        <w:rPr>
          <w:rFonts w:ascii="Calibri" w:hAnsi="Calibri"/>
          <w:b/>
          <w:color w:val="16A34A"/>
          <w:sz w:val="17"/>
        </w:rPr>
        <w:t xml:space="preserve"> Product Sustainability </w:t>
      </w:r>
      <w:r>
        <w:rPr>
          <w:rFonts w:ascii="Calibri" w:hAnsi="Calibri"/>
          <w:b w:val="0"/>
          <w:color w:val="9DAF88"/>
          <w:sz w:val="17"/>
        </w:rPr>
        <w:t xml:space="preserve">  ·  </w:t>
      </w:r>
      <w:r>
        <w:rPr>
          <w:rFonts w:ascii="Calibri" w:hAnsi="Calibri"/>
          <w:b/>
          <w:color w:val="16A34A"/>
          <w:sz w:val="17"/>
        </w:rPr>
        <w:t xml:space="preserve"> Regulatory Adherence </w:t>
      </w:r>
      <w:r>
        <w:rPr>
          <w:rFonts w:ascii="Calibri" w:hAnsi="Calibri"/>
          <w:b w:val="0"/>
          <w:color w:val="9DAF88"/>
          <w:sz w:val="17"/>
        </w:rPr>
        <w:t xml:space="preserve">  ·  </w:t>
      </w:r>
      <w:r>
        <w:rPr>
          <w:rFonts w:ascii="Calibri" w:hAnsi="Calibri"/>
          <w:b/>
          <w:color w:val="16A34A"/>
          <w:sz w:val="17"/>
        </w:rPr>
        <w:t xml:space="preserve"> Waste and Hazmat Management </w:t>
      </w:r>
      <w:r>
        <w:rPr>
          <w:rFonts w:ascii="Calibri" w:hAnsi="Calibri"/>
          <w:b w:val="0"/>
          <w:color w:val="9DAF88"/>
          <w:sz w:val="17"/>
        </w:rPr>
        <w:t xml:space="preserve">  ·  </w:t>
      </w:r>
      <w:r>
        <w:rPr>
          <w:rFonts w:ascii="Calibri" w:hAnsi="Calibri"/>
          <w:b/>
          <w:color w:val="16A34A"/>
          <w:sz w:val="17"/>
        </w:rPr>
        <w:t xml:space="preserve"> Water Conservation </w:t>
      </w:r>
    </w:p>
    <w:p>
      <w:pPr>
        <w:spacing w:before="120"/>
      </w:pPr>
      <w:r>
        <w:rPr>
          <w:rFonts w:ascii="Calibri" w:hAnsi="Calibri"/>
          <w:b w:val="0"/>
          <w:color w:val="9DAF88"/>
          <w:sz w:val="15"/>
        </w:rPr>
        <w:t>Source: Inspire Insight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RESOURCES</w:t>
            </w:r>
          </w:p>
        </w:tc>
      </w:tr>
    </w:tbl>
    <w:p>
      <w:pPr>
        <w:spacing w:before="20" w:after="20"/>
        <w:ind w:left="170"/>
      </w:pPr>
      <w:r>
        <w:rPr>
          <w:rFonts w:ascii="Calibri" w:hAnsi="Calibri"/>
          <w:b/>
          <w:color w:val="4A6B25"/>
          <w:sz w:val="15"/>
        </w:rPr>
        <w:t xml:space="preserve">1. </w:t>
      </w:r>
      <w:r>
        <w:rPr>
          <w:rFonts w:ascii="Calibri" w:hAnsi="Calibri"/>
          <w:b w:val="0"/>
          <w:color w:val="3A4A28"/>
          <w:sz w:val="17"/>
        </w:rPr>
        <w:t>Amazon Q2 2026 Earnings, CNBC and Quartz, July 30, 2026</w:t>
      </w:r>
    </w:p>
    <w:p>
      <w:pPr>
        <w:spacing w:before="20" w:after="20"/>
        <w:ind w:left="170"/>
      </w:pPr>
      <w:r>
        <w:rPr>
          <w:rFonts w:ascii="Calibri" w:hAnsi="Calibri"/>
          <w:b/>
          <w:color w:val="4A6B25"/>
          <w:sz w:val="15"/>
        </w:rPr>
        <w:t xml:space="preserve">2. </w:t>
      </w:r>
      <w:r>
        <w:rPr>
          <w:rFonts w:ascii="Calibri" w:hAnsi="Calibri"/>
          <w:b w:val="0"/>
          <w:color w:val="3A4A28"/>
          <w:sz w:val="17"/>
        </w:rPr>
        <w:t>Amazon leadership and culture: CNBC 'Amazon upheaval' (Nov 2025), Bloomberg 'How Andy Jassy Is Steering Amazon Through the AI Boom', Fortune and HBR, 2025-2026</w:t>
      </w:r>
    </w:p>
    <w:p>
      <w:pPr>
        <w:spacing w:before="20" w:after="20"/>
        <w:ind w:left="170"/>
      </w:pPr>
      <w:r>
        <w:rPr>
          <w:rFonts w:ascii="Calibri" w:hAnsi="Calibri"/>
          <w:b/>
          <w:color w:val="4A6B25"/>
          <w:sz w:val="15"/>
        </w:rPr>
        <w:t xml:space="preserve">3. </w:t>
      </w:r>
      <w:r>
        <w:rPr>
          <w:rFonts w:ascii="Calibri" w:hAnsi="Calibri"/>
          <w:b w:val="0"/>
          <w:color w:val="3A4A28"/>
          <w:sz w:val="17"/>
        </w:rPr>
        <w:t>Amazon ESG analysis: CNBC (2021), Seattle Times, Capital Research Center, accessed October 2026</w:t>
      </w:r>
    </w:p>
    <w:p>
      <w:pPr>
        <w:spacing w:before="400"/>
        <w:jc w:val="center"/>
      </w:pPr>
      <w:r>
        <w:rPr>
          <w:rFonts w:ascii="Calibri" w:hAnsi="Calibri"/>
          <w:b w:val="0"/>
          <w:color w:val="9DAF88"/>
          <w:sz w:val="16"/>
        </w:rPr>
        <w:t>Paradiem, LLC dba Intentional Ownership (“IOWN”) is a registered investment advisor. The information provided is for educational and informational purposes only and does not constitute investment advice.</w:t>
      </w:r>
    </w:p>
    <w:sectPr w:rsidR="00FC693F" w:rsidRPr="0006063C" w:rsidSect="00034616">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