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APA</w:t>
      </w:r>
      <w:r>
        <w:rPr>
          <w:rFonts w:ascii="Calibri" w:hAnsi="Calibri"/>
          <w:b/>
          <w:color w:val="1A2010"/>
          <w:sz w:val="40"/>
        </w:rPr>
        <w:t xml:space="preserve">  APA Corporation</w:t>
      </w:r>
    </w:p>
    <w:p>
      <w:pPr>
        <w:spacing w:after="120"/>
      </w:pPr>
      <w:r>
        <w:rPr>
          <w:rFonts w:ascii="Calibri" w:hAnsi="Calibri"/>
          <w:b/>
          <w:color w:val="6E8450"/>
          <w:sz w:val="18"/>
        </w:rPr>
        <w:t>DIVIDEND SLEEVE · 2026-10-13 · Inspire: 36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Oil &amp; Gas E&amp;P · NMS · United States</w:t>
      </w:r>
    </w:p>
    <w:p>
      <w:pPr>
        <w:spacing w:after="80"/>
      </w:pPr>
      <w:r>
        <w:rPr>
          <w:rFonts w:ascii="Calibri" w:hAnsi="Calibri"/>
          <w:b w:val="0"/>
          <w:color w:val="3A4A28"/>
          <w:sz w:val="20"/>
        </w:rPr>
        <w:t>APA Corporation is an independent energy company that explores for, develops, and produces natural gas, crude oil, and natural gas liquids across the Permian Basin, Egypt, and the North Sea, with frontier exploration in Suriname (Block 58 with TotalEnergies). APA completed the $4.5B Callon Petroleum acquisition in April 2024. Q2 2026 delivered net income of $747M ($2.11/share diluted) on approximately $2.4B in revenue, and the company projects $2.3B of free cash flow for full-year 2026 at strip pricing. Incorporated in 1954, headquartered in Houston, Texas.</w:t>
      </w:r>
    </w:p>
    <w:p>
      <w:r>
        <w:rPr>
          <w:rFonts w:ascii="Calibri" w:hAnsi="Calibri"/>
          <w:b/>
          <w:color w:val="6E8450"/>
          <w:sz w:val="18"/>
        </w:rPr>
        <w:t>1,791 Employees · https://www.apacorp.com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APA's most significant strategic move was the $4.5B Callon Petroleum acquisition in April 2024, consolidating its Permian Basin position and targeting $450M in cumulative run-rate cost savings by year-end 2026 [1][2]. While transformative in scale, this represents standard E&amp;P sector consolidation rather than business model innovation. AI Deployment (1/2): APA's multi-year partnership with Palantir integrates AI into supply chain management, production optimization, and predictive maintenance, generating operational savings that contribute to the cost savings target [3]. However, this is internal cost reduction, not an AI product generating customer revenue. Market Share (1/2): APA is a meaningful Permian Basin operator with total production of approximately 442,000 BOE/day, but trails larger Permian players including ConocoPhillips, Diamondback, and EOG Resources in basin-level dominance [1]. Product Pipeline (0/2): The Suriname GranMorgu development with TotalEnergies offers frontier exploration upside, but no specific FID or development timeline with revenue visibility has been announced. U.S. oil production guidance was raised to 123,000 bbl/d for 2026, reflecting incremental operational improvements rather than next-generation products [1]. R&amp;D Intensity (1/1): The $2.1B capital program relative to APA's $16.4B market cap and Palantir AI deployment position APA at or above peer levels for E&amp;P operational technology investment.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APA's stated purpose centers on fulfilling global energy needs while creating value for all stakeholders — functional but generic and interchangeable with any mid-cap E&amp;P peer, lacking a distinctive vision that inspires beyond the obvious business of hydrocarbon production [2]. Community Impact (1/2): APA ties 20% of all employee incentive compensation to ESG goals including safety and emissions, and publishes annual sustainability reports [4]. However, a DOJ/EPA enforcement action for Clean Air Act violations at 422 well pads ($4M penalty plus $5.5M remediation) undermines the environmental commitment narrative [4]. Employee Retention (1/2): CEO John Christmann has led APA since 2015 (11+ year tenure with 27+ years at the company), demonstrating exceptional leadership stability, and CFO Ben Rodgers was promoted internally in May 2025 [3]. However, the January 2025 restructuring that reduced officer-level positions by over 30% (29 to 19) signals cost-cutting rather than a stable, mission-driven culture. Insider Buying (1/2): Director Juliet S. Ellis invested $100,026 in shares at $22.78 in December 2025 — genuine insider buying at the stock's low point — but a single director transaction limits the conviction signal [5].</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APA's financial profile improved materially through debt reduction: D/E of 48.9% well below the 70% target (score 1.0), ROE of 26.7% exceeding the 15% target (score 1.0), and Forward P/E of 10.1 deeply discounted versus the 20 target (score 1.0) [1][5]. Profit margin of 19.6% nearly meets the 20% target (score 0.98), and revenue growth YoY of 9.2% in Q2 2026 approaches the 10% target (score 0.97). The 5yr revenue CAGR of approximately 5% reflects volatile commodity cycles and the Callon acquisition (score 0.67). On dividend metrics, the payout ratio of 21.1% is well below the 40% target (score 1.0), and APA has paid dividends for 44+ consecutive years (score 1.0, 2x weight). The 5yr dividend growth CAGR of approximately 25% reflects recovery from the 2020-2021 cut ($0.33 to $1.00) rather than organic growth (score 1.0, 2x weight). However, consecutive years of dividend growth = 0 since the dividend has been flat at $1.00/year since 2023 (score 0.0). Daily dollar volume of $261M provides ample liquidity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APA under CEO Christmann demonstrates some long-term thinking — 11+ year CEO tenure, commitment to frontier Suriname exploration, and the transformative Callon acquisition. However, the company's stated purpose centers on shareholder value creation, the aggressive 30%+ officer reduction prioritizes cost efficiency over organizational trust, and the unwavering commitment to hydrocarbon extraction without energy transition diversification reflects a predominantly finite game mindset focused on optimizing quarterly returns rather than building an energy company that endures through the transition era.</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APA's purpose centers on fulfilling global energy needs while creating shareholder value — an industry-wide talking point rather than a distinctive Just Cause [2]. The mission is interchangeable with any E&amp;P peer and does not describe a vision of a future state that inspires sacrifice. Strategic decisions are driven by capital allocation optimization and shareholder returns, not by advancing a cause. However, the commitment to 'not stop exploring for oil and gas' represents at least a conviction about the company's role in energy security.</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Christmann's 27-year tenure at the company provides leadership stability, and the internal promotion of Ben Rodgers to CFO in May 2025 suggests some talent development from within [3]. The lean 1,791-employee workforce generating $2.4B quarterly revenue reflects high productivity. However, the January 2025 restructuring eliminating over 30% of officer positions creates organizational fear and uncertainty inconsistent with Sinek's Circle of Safety, and no evidence of exceptional trust culture or employee-cited purpose-driven retention was found.</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APA's competitive language in earnings calls focuses on capital efficiency metrics, production per lateral foot, and cost benchmarking against Permian peers — standard competitive positioning about outperforming on returns rather than learning from competitors' strengths. No evidence of management acknowledging worthy rivals or using competitive pressure as motivation for genuine self-improvement beyond operational benchmarking.</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APA has incrementally evolved through geographic expansion (Permian, Egypt, North Sea, Suriname) and the Callon acquisition meaningfully shifted the production mix toward the Permian Basin [1]. The 2021 corporate restructuring from Apache Corporation to APA Corporation reflected a modernization effort. However, the core business model remains upstream oil and gas production — the same for decades — with no moves toward renewables, carbon capture, or alternative energy despite growing transition pressures.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$4.5B Callon Petroleum acquisition expanded APA's Permian position materially, and the multi-year Suriname exploration commitment of approximately $230M represents a high-risk bet with uncertain returns [1]. Q2 2026 free cash flow generation while maintaining the dividend demonstrates disciplined execution under commodity volatility. However, the 2020 dividend cut from $1.00 to $0.10 was pragmatic retreat rather than courageous long-term investment, and the 30%+ officer reduction prioritizes financial optimization over organizational development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APA at $46.84 with a $16.4B market cap offers compelling value in the E&amp;P sector — trading at just 10x forward earnings with a 2.1% dividend yield, 21% payout ratio, and projected $2.3B free cash flow for 2026 at strip pricing [1]. Debt reduction has been substantial, bringing D/E to 48.9% from 70% in mid-2026, while ROE of 26.7% and profit margin of 19.6% demonstrate strong operational profitability [5]. Q2 2026 delivered net income of $747M ($2.11/share diluted), and U.S. oil production guidance was raised to 123,000 bbl/d while maintaining the $1.3B capital budget [1]. The Callon integration is delivering toward $450M in cumulative cost savings, the Palantir AI partnership generates measurable operational efficiencies [3], and the Suriname exploration program provides transformative optionality. The Inspire Impact Score of 36 (ALIGNED) with 15 positive attributions and no negative flags supports faith-based allocation.</w:t>
      </w:r>
    </w:p>
    <w:p>
      <w:pPr>
        <w:spacing w:after="120"/>
      </w:pPr>
      <w:r>
        <w:rPr>
          <w:rFonts w:ascii="Calibri" w:hAnsi="Calibri"/>
          <w:b w:val="0"/>
          <w:color w:val="3A4A28"/>
          <w:sz w:val="20"/>
        </w:rPr>
        <w:t>The bear case centers on commodity price vulnerability and structural challenges. Annual revenue declined 8.4% in FY2025 to $8.92B, Q1 2026 revenue fell 15.2% YoY, and the dividend has been flat at $1.00/year since 2023 after being cut 86% during 2020-2021, undermining the income growth thesis [2]. The 30%+ reduction in officer-level positions suggests cost-cutting prioritized over organizational investment, and Sustainalytics assigns a High ESG risk score of 38.3 (ranked 80/294 in Oil &amp; Gas Producers) with no public net-zero target [4]. The DOJ/EPA enforcement action for Clean Air Act violations at 422 well pads creates ongoing regulatory risk. The Suriname development remains pre-FID with uncertain commercial timelines, and APA's explicit commitment to hydrocarbon extraction without energy transition diversification leaves it exposed to long-term demand erosion from electrification and decarbonization policy. At $46.84, the stock has recovered 135%+ from its 52-week low, potentially pricing in the operational improvements.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Suriname Block 58 FID with TotalEnergies could unlock a world-class offshore resource, providing transformative growth optionality beyond the mature Permian Basin portfolio and materially rerating the stock from its current deep-value multiple</w:t>
      </w:r>
    </w:p>
    <w:p>
      <w:pPr>
        <w:spacing w:before="40" w:after="40"/>
        <w:ind w:left="283"/>
      </w:pPr>
      <w:r>
        <w:rPr>
          <w:rFonts w:ascii="Calibri" w:hAnsi="Calibri"/>
          <w:b/>
          <w:color w:val="4A6B25"/>
          <w:sz w:val="20"/>
        </w:rPr>
        <w:t xml:space="preserve">2. </w:t>
      </w:r>
      <w:r>
        <w:rPr>
          <w:rFonts w:ascii="Calibri" w:hAnsi="Calibri"/>
          <w:b w:val="0"/>
          <w:color w:val="3A4A28"/>
          <w:sz w:val="20"/>
        </w:rPr>
        <w:t>Projected $2.3B free cash flow in 2026 at strip pricing supports potential dividend increase from the flat $1.00/year level — the 21% payout ratio provides significant headroom, and a raise would restore income investor interest</w:t>
      </w:r>
    </w:p>
    <w:p>
      <w:pPr>
        <w:spacing w:before="40" w:after="40"/>
        <w:ind w:left="283"/>
      </w:pPr>
      <w:r>
        <w:rPr>
          <w:rFonts w:ascii="Calibri" w:hAnsi="Calibri"/>
          <w:b/>
          <w:color w:val="4A6B25"/>
          <w:sz w:val="20"/>
        </w:rPr>
        <w:t xml:space="preserve">3. </w:t>
      </w:r>
      <w:r>
        <w:rPr>
          <w:rFonts w:ascii="Calibri" w:hAnsi="Calibri"/>
          <w:b w:val="0"/>
          <w:color w:val="3A4A28"/>
          <w:sz w:val="20"/>
        </w:rPr>
        <w:t>Continued Callon integration delivering toward $450M cost savings target by year-end 2026, combined with debt reduction (D/E improved from 70% to 48.9%) creating balance sheet capacity for additional shareholder returns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Revenue declined 8.4% in FY2025 and Q1 2026 fell 15.2% YoY despite rising production, demonstrating acute commodity price sensitivity that could compress margins and free cash flow if WTI sustains below $65/bbl</w:t>
      </w:r>
    </w:p>
    <w:p>
      <w:pPr>
        <w:spacing w:before="40" w:after="40"/>
        <w:ind w:left="283"/>
      </w:pPr>
      <w:r>
        <w:rPr>
          <w:rFonts w:ascii="Calibri" w:hAnsi="Calibri"/>
          <w:b/>
          <w:color w:val="4A6B25"/>
          <w:sz w:val="20"/>
        </w:rPr>
        <w:t xml:space="preserve">2. </w:t>
      </w:r>
      <w:r>
        <w:rPr>
          <w:rFonts w:ascii="Calibri" w:hAnsi="Calibri"/>
          <w:b w:val="0"/>
          <w:color w:val="3A4A28"/>
          <w:sz w:val="20"/>
        </w:rPr>
        <w:t>Dividend has been flat at $1.00/year since 2023 following an 86% cut during 2020-2021 — the 5yr CAGR of 25.2% reflects recovery from a trough rather than organic growth, and consecutive years of growth stands at zero</w:t>
      </w:r>
    </w:p>
    <w:p>
      <w:pPr>
        <w:spacing w:before="40" w:after="40"/>
        <w:ind w:left="283"/>
      </w:pPr>
      <w:r>
        <w:rPr>
          <w:rFonts w:ascii="Calibri" w:hAnsi="Calibri"/>
          <w:b/>
          <w:color w:val="4A6B25"/>
          <w:sz w:val="20"/>
        </w:rPr>
        <w:t xml:space="preserve">3. </w:t>
      </w:r>
      <w:r>
        <w:rPr>
          <w:rFonts w:ascii="Calibri" w:hAnsi="Calibri"/>
          <w:b w:val="0"/>
          <w:color w:val="3A4A28"/>
          <w:sz w:val="20"/>
        </w:rPr>
        <w:t>DOJ/EPA enforcement for Clean Air Act violations at 422 well pads ($4M penalty plus $5.5M remediation) and Sustainalytics High ESG risk score of 38.3 create regulatory and ESG-driven capital reallocation risks as institutional mandates tighten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Oil and gas E&amp;P is fundamentally a physical-world business — drilling wells, managing reservoirs, and extracting hydrocarbons requires capital-intensive infrastructure that AI cannot substitute [1]. APA operates across the Permian Basin, Egypt, and North Sea in highly regulated environments with geopolitical complexity beyond AI's reach. AI-driven data center expansion actually increases energy demand, potentially benefiting E&amp;P producers as natural gas powers electricity generation. However, AI-enabled drilling optimization by competitors could erode APA's relative operational advantages, and AI-powered energy transition technologies represent a long-term structural risk to hydrocarbon demand, preventing an IMMUNE rating. AI Opportunity (1/1): APA's multi-year Palantir partnership integrates AI into production optimization, predictive maintenance, and supply chain management, contributing to the $450M cost savings target — real, quantified AI benefit, though cost-side rather than revenue-generating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36</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APA Corporation Q2 2026 Earnings Release — Net income $747M ($2.11/share diluted), raised U.S. oil production guidance to 123K bbl/d, $2.3B projected FY2026 FCF, SEC Filing, August 2026</w:t>
      </w:r>
    </w:p>
    <w:p>
      <w:pPr>
        <w:spacing w:before="20" w:after="20"/>
        <w:ind w:left="170"/>
      </w:pPr>
      <w:r>
        <w:rPr>
          <w:rFonts w:ascii="Calibri" w:hAnsi="Calibri"/>
          <w:b/>
          <w:color w:val="4A6B25"/>
          <w:sz w:val="15"/>
        </w:rPr>
        <w:t xml:space="preserve">2. </w:t>
      </w:r>
      <w:r>
        <w:rPr>
          <w:rFonts w:ascii="Calibri" w:hAnsi="Calibri"/>
          <w:b w:val="0"/>
          <w:color w:val="3A4A28"/>
          <w:sz w:val="17"/>
        </w:rPr>
        <w:t>APA Corporation Q1 2026 Earnings Release — Revenue $2.22B (-15.2% YoY), net income $446M ($1.26/share), FY2025 revenue $8.92B, SEC Filing, May 2026</w:t>
      </w:r>
    </w:p>
    <w:p>
      <w:pPr>
        <w:spacing w:before="20" w:after="20"/>
        <w:ind w:left="170"/>
      </w:pPr>
      <w:r>
        <w:rPr>
          <w:rFonts w:ascii="Calibri" w:hAnsi="Calibri"/>
          <w:b/>
          <w:color w:val="4A6B25"/>
          <w:sz w:val="15"/>
        </w:rPr>
        <w:t xml:space="preserve">3. </w:t>
      </w:r>
      <w:r>
        <w:rPr>
          <w:rFonts w:ascii="Calibri" w:hAnsi="Calibri"/>
          <w:b w:val="0"/>
          <w:color w:val="3A4A28"/>
          <w:sz w:val="17"/>
        </w:rPr>
        <w:t>APA Corporation Palantir AI Partnership — Multi-year agreement for supply chain, production optimization, and predictive maintenance, contributing to $450M cumulative cost savings target, 2024-2026</w:t>
      </w:r>
    </w:p>
    <w:p>
      <w:pPr>
        <w:spacing w:before="20" w:after="20"/>
        <w:ind w:left="170"/>
      </w:pPr>
      <w:r>
        <w:rPr>
          <w:rFonts w:ascii="Calibri" w:hAnsi="Calibri"/>
          <w:b/>
          <w:color w:val="4A6B25"/>
          <w:sz w:val="15"/>
        </w:rPr>
        <w:t xml:space="preserve">4. </w:t>
      </w:r>
      <w:r>
        <w:rPr>
          <w:rFonts w:ascii="Calibri" w:hAnsi="Calibri"/>
          <w:b w:val="0"/>
          <w:color w:val="3A4A28"/>
          <w:sz w:val="17"/>
        </w:rPr>
        <w:t>APA Corporation Sustainability and Regulatory — ESG goals at 20% of incentive compensation, DOJ/EPA Clean Air Act enforcement at 422 well pads, Sustainalytics ESG Risk Score 38.3, 2024-2026</w:t>
      </w:r>
    </w:p>
    <w:p>
      <w:pPr>
        <w:spacing w:before="20" w:after="20"/>
        <w:ind w:left="170"/>
      </w:pPr>
      <w:r>
        <w:rPr>
          <w:rFonts w:ascii="Calibri" w:hAnsi="Calibri"/>
          <w:b/>
          <w:color w:val="4A6B25"/>
          <w:sz w:val="15"/>
        </w:rPr>
        <w:t xml:space="preserve">5. </w:t>
      </w:r>
      <w:r>
        <w:rPr>
          <w:rFonts w:ascii="Calibri" w:hAnsi="Calibri"/>
          <w:b w:val="0"/>
          <w:color w:val="3A4A28"/>
          <w:sz w:val="17"/>
        </w:rPr>
        <w:t>Yahoo Finance and StockAnalysis — APA Key Statistics: Price $46.84, Forward P/E 10.06, D/E 48.9%, ROE 26.7%, Market Cap $16.4B, Dividend Yield 2.13%,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