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APG</w:t>
      </w:r>
      <w:r>
        <w:rPr>
          <w:rFonts w:ascii="Calibri" w:hAnsi="Calibri"/>
          <w:b/>
          <w:color w:val="1A2010"/>
          <w:sz w:val="40"/>
        </w:rPr>
        <w:t xml:space="preserve">  APi Group Corporation</w:t>
      </w:r>
    </w:p>
    <w:p>
      <w:pPr>
        <w:spacing w:after="120"/>
      </w:pPr>
      <w:r>
        <w:rPr>
          <w:rFonts w:ascii="Calibri" w:hAnsi="Calibri"/>
          <w:b/>
          <w:color w:val="6E8450"/>
          <w:sz w:val="18"/>
        </w:rPr>
        <w:t>GROWTH SLEEVE · 2026-09-06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Building Products · NYSE · United States</w:t>
      </w:r>
    </w:p>
    <w:p>
      <w:pPr>
        <w:spacing w:after="80"/>
      </w:pPr>
      <w:r>
        <w:rPr>
          <w:rFonts w:ascii="Calibri" w:hAnsi="Calibri"/>
          <w:b w:val="0"/>
          <w:color w:val="3A4A28"/>
          <w:sz w:val="20"/>
        </w:rPr>
        <w:t>APi Group Corporation is a global provider of safety and specialty services, operating through two segments: Safety Services (fire protection, life safety, HVAC, and building automation) and Specialty Services (infrastructure, utilities, and industrial services). The company was transformed by its $3.1B acquisition of Chubb Fire &amp; Security from Carrier Global in 2022. APG reported record FY2025 net revenues of $7.9B (+12.7% YoY, 7.9% organic), adjusted EBITDA of $1.04B (+16.6% at record 13.2% margin), and raised 2026 guidance to $8.875-9.025B revenue with adjusted EBITDA of $1.205-1.245B.</w:t>
      </w:r>
    </w:p>
    <w:p>
      <w:r>
        <w:rPr>
          <w:rFonts w:ascii="Calibri" w:hAnsi="Calibri"/>
          <w:b/>
          <w:color w:val="6E8450"/>
          <w:sz w:val="18"/>
        </w:rPr>
        <w:t>28,000 Employees · https://www.apigroupinc.com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APi Group executed a transformative acquisition of Chubb Fire &amp; Security for $3.1B, growing revenue from ~$3.8B in 2020 to $7.9B in FY2025 while expanding adjusted EBITDA margins from ~10% to a record 13.2% through systematic integration and operational improvement [1]. Q2 2026 continued the momentum with 13.3% revenue growth and record backlog above $5B [2]. These represent successful execution of an acquisition-led strategy rather than organic product innovation. AI Deployment (0/2): No evidence of AI-powered products, services, or quantified AI-driven cost savings was identified in APG's public disclosures or earnings commentary. Market Share (1/2): Post-Chubb acquisition, APi Group is one of the largest fire protection and life safety service providers globally, with meaningful positions across North America, Europe, and Asia-Pacific, though the market remains fragmented [1]. Pipeline (1/2): Record backlog exceeding $5B in Q2 2026 provides strong near-term revenue visibility, supported by infrastructure spending tailwinds, data center construction, and regulatory-driven fire safety compliance requirements [2]. R&amp;D Intensity (0/1): As a specialty services contractor, APi Group does not invest meaningfully in R&amp;D relative to revenue; competitive advantage derives from execution capability, regulatory expertise, and customer relationships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APi Group's purpose statement 'Building Great Leaders' is distinctive and specific — a specialty contractor that defines itself as a leadership development organization is genuinely differentiated from peers [3]. The company explicitly states it invests in leadership development at all levels across all businesses to maintain an entrepreneurial culture where people are empowered to drive collaboration and innovation [3]. Community Impact (0/2): APi Group published a 2023 Sustainability Report identifying nine ESG priority topics, but no specific charitable programs, philanthropic dollar amounts, or distinctive community investment initiatives were identified beyond standard corporate sustainability reporting [4]. Employee Retention (0/2): The company emphasizes an 'entrepreneurial atmosphere where people are empowered,' but no specific employee retention metrics, voluntary turnover rates, or average tenure data were available to verify these claims. Insider Buying (0/2): No evidence of net insider buying by CEO or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100% is moderate, reflecting acquisition-related leverage that is being deleveraged through EBITDA growth [1]. ROE of 9.5% is below the 15% target, depressed by acquisition goodwill and intangible amortization that inflate the equity base [5]. Revenue growth YoY of 12.7% for FY2025 exceeds the 10% target, and 5-year revenue CAGR of approximately 16% is strong [1][2]. Forward P/E of 27.0 is above the 20 target but reflects the market's premium for APG's margin expansion runway [5]. Profit margin of 4.1% (GAAP) is well below the 20% target due to acquisition-related amortization charges [5]. Forward PEG estimated at 1.3 based on consensus earnings growth expectations. Liquidity is strong with ~$193M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APi Group demonstrates genuine infinite game characteristics through its 'Building Great Leaders' philosophy and long-term investment in leadership development at all levels. The transformative Chubb acquisition showed willingness to fundamentally reshape the company. However, the acquisitive growth model and focus on margin expansion metrics reflect a business optimizing for operational excellence rather than advancing a deeper cause beyond profit.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'Building Great Leaders' is a genuine and distinctive purpose that connects the company's work to something bigger than fire safety or construction services [3]. The company explicitly invests in leadership development across all levels and businesses, and the entrepreneurial culture is designed to empower people to drive collaboration and innovation. Some strategic decisions trace back to this purpose — the decentralized operating model preserves entrepreneurial autonomy. However, the cause hasn't been tested through decades of consistency or major crises to prove it's more than a well-articulated culture statement.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APi Group's decentralized, entrepreneurial operating model empowers local business leaders to make decisions and drive their own businesses, suggesting meaningful autonomy and trust [3]. CEO leadership has been stable through the transformative Chubb acquisition period. The company was recognized among top 20 S&amp;P 500 companies for talent readiness by the Wall Street Journal [3]. However, no specific data on voluntary turnover, employee tenure, or cultural practices that demonstrate exceptional trust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acknowledging competitors' strengths or framing competition as a motivation to improve. The company's strategy focuses on acquisition-led market consolidation and operational excellence, which is more consistent with a 'winning market share' mindset than a 'learning from rivals'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$3.1B acquisition of Chubb Fire &amp; Security fundamentally transformed APi Group from a regional U.S. specialty contractor into a global fire/life safety leader, roughly doubling the company's revenue and establishing international operations across Europe and Asia-Pacific [1]. This was a significant strategic evolution, though it was an expansion of the existing business model (acquiring complementary services) rather than a fundamental reinvention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$3.1B Chubb acquisition represented a bold, company-defining bet — paying roughly the entire market capitalization of the pre-deal company for a transformative asset [1]. Management has maintained capital discipline while investing in integration and margin improvement, raising EBITDA margins from ~10% to 13.2% over three years. However, the courage has been primarily financial (willingness to lever up for growth) rather than values-driven (sacrificing short-term results for a larger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APi Group offers a compelling margin expansion story within a recession-resistant, regulation-driven industry. The company's record FY2025 results ($7.9B revenue, 13.2% EBITDA margin) and raised 2026 guidance ($8.875-9.025B revenue, $1.205-1.245B EBITDA) demonstrate consistent execution on integration synergies from the transformative Chubb acquisition [1][2]. Record backlog exceeding $5B, supported by data center construction, infrastructure spending, and fire safety compliance mandates, provides strong near-term visibility. The leadership development culture and decentralized operating model create a scalable platform for continued bolt-on acquisitions.</w:t>
      </w:r>
    </w:p>
    <w:p>
      <w:pPr>
        <w:spacing w:after="120"/>
      </w:pPr>
      <w:r>
        <w:rPr>
          <w:rFonts w:ascii="Calibri" w:hAnsi="Calibri"/>
          <w:b w:val="0"/>
          <w:color w:val="3A4A28"/>
          <w:sz w:val="20"/>
        </w:rPr>
        <w:t>The bear case centers on APG's premium valuation — at 27x forward earnings and 52x trailing GAAP earnings, the stock prices in significant margin expansion that may be difficult to sustain as integration gains from Chubb plateau [5]. GAAP profit margins of 4.1% remain thin for a company valued at $18B, and the D/E of 100% reflects residual acquisition leverage. Organic growth of 7.9% in FY2025 versus 12.7% total growth indicates meaningful reliance on M&amp;A, and the specialty contracting industry faces cyclical risk tied to construction spending and labor availability. ROE of 9.5% is below cost of equity, suggesting the market is betting heavily on future improvement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EBITDA margin expansion toward the 14-15% target as Chubb integration synergies are fully realized and the Safety Services mix shifts toward higher-margin recurring inspection and monitoring revenue</w:t>
      </w:r>
    </w:p>
    <w:p>
      <w:pPr>
        <w:spacing w:before="40" w:after="40"/>
        <w:ind w:left="283"/>
      </w:pPr>
      <w:r>
        <w:rPr>
          <w:rFonts w:ascii="Calibri" w:hAnsi="Calibri"/>
          <w:b/>
          <w:color w:val="4A6B25"/>
          <w:sz w:val="20"/>
        </w:rPr>
        <w:t xml:space="preserve">2. </w:t>
      </w:r>
      <w:r>
        <w:rPr>
          <w:rFonts w:ascii="Calibri" w:hAnsi="Calibri"/>
          <w:b w:val="0"/>
          <w:color w:val="3A4A28"/>
          <w:sz w:val="20"/>
        </w:rPr>
        <w:t>Data center construction boom driving demand for advanced fire protection systems, with hyperscale buildouts requiring sophisticated suppression and detection infrastructure</w:t>
      </w:r>
    </w:p>
    <w:p>
      <w:pPr>
        <w:spacing w:before="40" w:after="40"/>
        <w:ind w:left="283"/>
      </w:pPr>
      <w:r>
        <w:rPr>
          <w:rFonts w:ascii="Calibri" w:hAnsi="Calibri"/>
          <w:b/>
          <w:color w:val="4A6B25"/>
          <w:sz w:val="20"/>
        </w:rPr>
        <w:t xml:space="preserve">3. </w:t>
      </w:r>
      <w:r>
        <w:rPr>
          <w:rFonts w:ascii="Calibri" w:hAnsi="Calibri"/>
          <w:b w:val="0"/>
          <w:color w:val="3A4A28"/>
          <w:sz w:val="20"/>
        </w:rPr>
        <w:t>Bolt-on acquisition pipeline in fragmented fire/life safety and infrastructure services markets, leveraging APG's integration playbook and decentralized operating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(27x forward PE) assumes continued margin expansion that may decelerate as Chubb integration synergies are fully harvested, with limited room for multiple expansion</w:t>
      </w:r>
    </w:p>
    <w:p>
      <w:pPr>
        <w:spacing w:before="40" w:after="40"/>
        <w:ind w:left="283"/>
      </w:pPr>
      <w:r>
        <w:rPr>
          <w:rFonts w:ascii="Calibri" w:hAnsi="Calibri"/>
          <w:b/>
          <w:color w:val="4A6B25"/>
          <w:sz w:val="20"/>
        </w:rPr>
        <w:t xml:space="preserve">2. </w:t>
      </w:r>
      <w:r>
        <w:rPr>
          <w:rFonts w:ascii="Calibri" w:hAnsi="Calibri"/>
          <w:b w:val="0"/>
          <w:color w:val="3A4A28"/>
          <w:sz w:val="20"/>
        </w:rPr>
        <w:t>Cyclical exposure to non-residential construction spending — a downturn in commercial real estate or infrastructure investment would pressure organic growth below the 3-6% guidance range</w:t>
      </w:r>
    </w:p>
    <w:p>
      <w:pPr>
        <w:spacing w:before="40" w:after="40"/>
        <w:ind w:left="283"/>
      </w:pPr>
      <w:r>
        <w:rPr>
          <w:rFonts w:ascii="Calibri" w:hAnsi="Calibri"/>
          <w:b/>
          <w:color w:val="4A6B25"/>
          <w:sz w:val="20"/>
        </w:rPr>
        <w:t xml:space="preserve">3. </w:t>
      </w:r>
      <w:r>
        <w:rPr>
          <w:rFonts w:ascii="Calibri" w:hAnsi="Calibri"/>
          <w:b w:val="0"/>
          <w:color w:val="3A4A28"/>
          <w:sz w:val="20"/>
        </w:rPr>
        <w:t>Labor availability and wage inflation in skilled trades (fire protection technicians, electricians) could compress margins in a tight labor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APi Group's core business — installing, inspecting, and maintaining fire protection systems, life safety equipment, HVAC systems, and utility infrastructure — is inherently physical, on-site work that AI structurally cannot displace [1]. Fire sprinkler installation, building code compliance inspections, and infrastructure construction require human presence, site-specific judgment, and regulatory licensing that create a permanent barrier to AI substitution. Demand may actually increase as AI-driven data centers require advanced fire suppression and cooling infrastructure. Customer service and back-office functions face modest AI automation potential, but these are cost optimization opportunities rather than revenue threats. AI Opportunity (0/1): No quantifiable AI-related revenue streams were identified. AI is not a commercial offering for APi Group.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APi Group FY2025 Record Fourth Quarter and Full Year 2025 Financial Results Press Release, Nasdaq, February 2026</w:t>
      </w:r>
    </w:p>
    <w:p>
      <w:pPr>
        <w:spacing w:before="20" w:after="20"/>
        <w:ind w:left="170"/>
      </w:pPr>
      <w:r>
        <w:rPr>
          <w:rFonts w:ascii="Calibri" w:hAnsi="Calibri"/>
          <w:b/>
          <w:color w:val="4A6B25"/>
          <w:sz w:val="15"/>
        </w:rPr>
        <w:t xml:space="preserve">2. </w:t>
      </w:r>
      <w:r>
        <w:rPr>
          <w:rFonts w:ascii="Calibri" w:hAnsi="Calibri"/>
          <w:b w:val="0"/>
          <w:color w:val="3A4A28"/>
          <w:sz w:val="17"/>
        </w:rPr>
        <w:t>APi Group Q1 2026 Financial Results Press Release — Q2 2026 net revenues of $2.3B, 13.3% growth, record backlog, ir.apigroupcorp.com, July 2026</w:t>
      </w:r>
    </w:p>
    <w:p>
      <w:pPr>
        <w:spacing w:before="20" w:after="20"/>
        <w:ind w:left="170"/>
      </w:pPr>
      <w:r>
        <w:rPr>
          <w:rFonts w:ascii="Calibri" w:hAnsi="Calibri"/>
          <w:b/>
          <w:color w:val="4A6B25"/>
          <w:sz w:val="15"/>
        </w:rPr>
        <w:t xml:space="preserve">3. </w:t>
      </w:r>
      <w:r>
        <w:rPr>
          <w:rFonts w:ascii="Calibri" w:hAnsi="Calibri"/>
          <w:b w:val="0"/>
          <w:color w:val="3A4A28"/>
          <w:sz w:val="17"/>
        </w:rPr>
        <w:t>APi Group Corporate Website — About Us, Leadership, and Culture, apigroupinc.com,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APi Group 2023 Sustainability Report — ESG priorities across Leadership, Safety, Environment, Inclusion, and Governance</w:t>
      </w:r>
    </w:p>
    <w:p>
      <w:pPr>
        <w:spacing w:before="20" w:after="20"/>
        <w:ind w:left="170"/>
      </w:pPr>
      <w:r>
        <w:rPr>
          <w:rFonts w:ascii="Calibri" w:hAnsi="Calibri"/>
          <w:b/>
          <w:color w:val="4A6B25"/>
          <w:sz w:val="15"/>
        </w:rPr>
        <w:t xml:space="preserve">5. </w:t>
      </w:r>
      <w:r>
        <w:rPr>
          <w:rFonts w:ascii="Calibri" w:hAnsi="Calibri"/>
          <w:b w:val="0"/>
          <w:color w:val="3A4A28"/>
          <w:sz w:val="17"/>
        </w:rPr>
        <w:t>StockAnalysis.com and GuruFocus — APG Statistics, Valuation, and Financial Metrics,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