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APO</w:t>
      </w:r>
      <w:r>
        <w:rPr>
          <w:rFonts w:ascii="Calibri" w:hAnsi="Calibri"/>
          <w:b/>
          <w:color w:val="1A2010"/>
          <w:sz w:val="40"/>
        </w:rPr>
        <w:t xml:space="preserve">  Apollo Global Management, Inc.</w:t>
      </w:r>
    </w:p>
    <w:p>
      <w:pPr>
        <w:spacing w:after="120"/>
      </w:pPr>
      <w:r>
        <w:rPr>
          <w:rFonts w:ascii="Calibri" w:hAnsi="Calibri"/>
          <w:b/>
          <w:color w:val="6E8450"/>
          <w:sz w:val="18"/>
        </w:rPr>
        <w:t>GROWTH SLEEVE · 2026-10-17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Apollo Global Management is one of the world's largest alternative asset managers with $1.05 trillion in assets under management across private equity, credit, and real assets strategies. The company operates through two integrated segments: Asset Management (fee-related and performance-driven earnings) and Retirement Services (through Athene, providing annuity products and insurance-linked investment). Led by CEO Marc Rowan, Apollo reported Q2 2026 revenue of $11.15B (+64% YoY) with record fee-related earnings of $785M and spread-related earnings of $877M. The firm originated $74B in Q2 and $150B in H1 2026.</w:t>
      </w:r>
    </w:p>
    <w:p>
      <w:r>
        <w:rPr>
          <w:rFonts w:ascii="Calibri" w:hAnsi="Calibri"/>
          <w:b/>
          <w:color w:val="6E8450"/>
          <w:sz w:val="18"/>
        </w:rPr>
        <w:t>2,540 Employees · https://www.apollo.com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Apollo executed one of the most transformative strategic pivots in alternative asset management — the 2022 merger with Athene Holdings created an integrated asset management and retirement services platform that fundamentally changed the business model, generating permanent capital and predictable insurance-linked earnings [1]. The expansion from traditional PE into private credit origination ($74B in Q2 2026, $320B LTM) redefined Apollo's competitive positioning, and total AUM crossed the $1 trillion milestone in Q1 2026 [1]. AI Deployment (1/2): Apollo is actively deploying AI in investment analysis and portfolio management, with CEO Marc Rowan hosting AI-focused leadership conferences positioning data infrastructure decisions as CEO-level priorities [2]. However, no specific quantified AI-driven revenue or cost savings have been publicly reported. Market Share (2/2): Apollo is one of three dominant alternative asset managers globally with $1.05T AUM alongside Blackstone and KKR, with fee-generating AUM of $858B rising 34% YoY [1]. The firm is the leading private credit originator and Athene is a top-tier fixed annuity provider. Product Pipeline (1/2): $50B in signed/announced deals expected to close provides multi-quarter deployment visibility, and management targets 20%+ FRE growth for full-year 2026 with 10% SRE growth [1]. R&amp;D Intensity (0/1): Financial services firms lack traditional R&amp;D metrics; Apollo's innovation comes through deal structuring and platform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Apollo's articulated philosophy — 'Purchase Price Matters' — is a financial discipline principle, not a mission connecting the company's work to a larger purpose beyond generating returns. The retirement services business through Athene serves millions of retirees, but this purpose is not articulated as the firm's driving mission [2]. Community Impact (1/2): Apollo maintains a multi-year ESG program with sustainability committee oversight at the board level and investments aligned with UN Sustainable Development Goals in healthcare, education, and energy transition [3]. However, as a PE firm, community impact comes through portfolio company operations rather than direct philanthropy. Employee Retention (0/2): No specific retention or tenure data publicly available for the 2,540-person workforce. Glassdoor shows a 4.0 rating with 90% CEO approval, but no distinctive cultural evidence beyond industry norms [2]. Insider Buying (0/2): Net insider selling of $135M in the last 12 months, including senior executive John Zito selling ~49,000 shares ($6.4M) at $131 representing 35% of direct holdings [4]. While CEO Rowan holds 34.2M shares, the net selling direction undermines alignment.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Revenue growth of 63.8% YoY dominates the score (1.0, 1x weight), driven by Athene insurance premium growth and record origination volumes [1]. Forward P/E of 10.38 is well below the 20x target (score 1.0, 1x weight), making Apollo among the cheapest large-cap financials [5]. D/E of 101% scores 0.87 (1x weight), reflecting moderate leverage appropriate for a financial services firm with insurance operations. ROE of 11.4% falls below the 15% target at score 0.76 (2x weight), partly reflecting GAAP accounting complexity for the combined asset management and insurance business where adjusted ROE would be materially higher. Profit margin of 5.27% (score 0.26, 1x weight) is the primary drag — driven by Athene's insurance operations where gross premiums inflate the revenue denominator while fee-related earnings margin is actually 58.5% [1]. PEG ratio and 5yr revenue CAGR unavailable due to Athene merger distortion. Daily dollar volume of $369M provides maximum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Apollo under Marc Rowan has demonstrated strategic vision in transforming the firm from a PE shop into a $1T diversified alternatives platform, and the Athene integration was a genuinely courageous bet. However, the firm's Just Cause remains fundamentally financial — generating superior risk-adjusted returns — which is a finite game objective. The Leon Black era governance controversies, significant insider selling ($135M net), and financial engineering orientation place Apollo in the MIXED category. The firm plays to keep growing, which is different from playing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Apollo's purpose — generating superior risk-adjusted returns through disciplined investing — is a financial objective, not a Just Cause in Sinek's framework. 'Purchase Price Matters' is an investment philosophy, not a vision of a future state people sacrifice to advance [2]. The retirement services business through Athene implicitly serves a societal purpose (securing retirements for millions), but Apollo does not articulate this as its driving mission. The firm exists to allocate capital profitably, which is legitimate but finite.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Apollo has maintained leadership continuity under Marc Rowan since 2021, with Glassdoor showing a 4.0 rating and 90% CEO approval from 439 reviews [2]. However, the Leon Black departure amid the Epstein controversy (2021) was a governance crisis that tested organizational trust, and recent board changes including the appointment of Gary Cohn as Lead Independent Director suggest ongoing governance evolution [3]. Reviews describe manager quality varying widely, with a culture that is 'solid but narrow.' No specific employee retention or tenure data is publicly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Apollo consistently frames its competitive position against Blackstone and KKR through differentiation rather than destruction. Marc Rowan emphasizes Apollo's focus on 'complexity' and 'value orientation' as differentiators, acknowledging competitors' strengths in different verticals (Blackstone in real estate, KKR in industrials) rather than attacking them [2]. The firm's strategy is to improve its own origination capabilities and credit analytics, not to beat competitors' AUM rankings.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Athene merger (2022) was a significant strategic transformation — combining an alternative asset manager with a retirement services company created an entirely new business model with permanent capital, predictable earnings, and insurance-linked investment capabilities that fundamentally changed Apollo's earnings profile [1]. This was a meaningful evolution beyond incremental change. However, the merger was also financially motivated by access to Athene's $250B+ balance sheet for deployment rather than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Marc Rowan took over as CEO during Apollo's most challenging period — the Leon Black/Epstein controversy (2021) — and successfully stabilized the firm, rebuilt institutional trust, and executed the Athene merger while pivoting aggressively into private credit origination ($320B LTM) ahead of most competitors [1][2]. However, significant insider selling ($135M net in 12 months) undermines the narrative that leadership is sacrificing short-term returns for long-term capability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Apollo at $110.78 (10.4x forward earnings) offers one of the most compelling valuations in large-cap financials for a company growing AUM 25%+ annually and generating record fee-related earnings. Q2 2026 delivered revenue of $11.15B (+64% YoY), FRE of $785M (+25% YoY) at 58.5% margin, and spread-related earnings of $877M (+11% YoY adjusted) [1]. Total AUM of $1.05T with fee-generating AUM of $858B (+34% YoY) demonstrates the structural growth in alternatives. Management targets 20%+ FRE growth and 10% SRE growth for full-year 2026. The private credit megatrend — banks retreating from lending while alternatives fill the gap — provides a secular tailwind for Apollo's largest business line, with $320B LTM origination volume and $50B in signed/announced deals pending [1]. At 10.4x forward earnings, the stock is priced at a substantial discount to the growth rate.</w:t>
      </w:r>
    </w:p>
    <w:p>
      <w:pPr>
        <w:spacing w:after="120"/>
      </w:pPr>
      <w:r>
        <w:rPr>
          <w:rFonts w:ascii="Calibri" w:hAnsi="Calibri"/>
          <w:b w:val="0"/>
          <w:color w:val="3A4A28"/>
          <w:sz w:val="20"/>
        </w:rPr>
        <w:t>The bear case centers on credit cycle risk, governance history, and accounting complexity. A recession or credit deterioration would impair Apollo's $1T+ portfolio of private credit, real estate, and PE investments, reducing origination volumes and potentially triggering losses in Athene's insurance portfolio [1]. The gap between trailing P/E of 39.7x and forward P/E of 10.4x highlights GAAP vs adjusted earnings complexity — the 5.27% GAAP profit margin obscures fee-related earnings margins of 58.5% but also reflects genuine insurance business complexity [5]. Insider selling of $135M net in 12 months, including senior executives disposing of large portions of holdings, undermines the alignment narrative [4]. The Leon Black/Epstein governance controversy remains a reputational overhang for investors with strict governance screens [3]. The Inspire Impact Score of -67 (MISALIGNED) limits allocation for faith-based portfolios. The stock has declined 12.4% from its 50-day SMA of $126.49, suggesting near-term negative momentum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AUM trajectory toward $1.5T by 2028 as private credit origination ($320B LTM) fills the gap left by bank lending retreat — each $100B in incremental AUM adds approximately $150M in annual FRE at current fee rates [1]</w:t>
      </w:r>
    </w:p>
    <w:p>
      <w:pPr>
        <w:spacing w:before="40" w:after="40"/>
        <w:ind w:left="283"/>
      </w:pPr>
      <w:r>
        <w:rPr>
          <w:rFonts w:ascii="Calibri" w:hAnsi="Calibri"/>
          <w:b/>
          <w:color w:val="4A6B25"/>
          <w:sz w:val="20"/>
        </w:rPr>
        <w:t xml:space="preserve">2. </w:t>
      </w:r>
      <w:r>
        <w:rPr>
          <w:rFonts w:ascii="Calibri" w:hAnsi="Calibri"/>
          <w:b w:val="0"/>
          <w:color w:val="3A4A28"/>
          <w:sz w:val="20"/>
        </w:rPr>
        <w:t>Forward P/E compression from 10.4x to sector multiples of 15-20x would represent 44-92% upside if the market re-rates Apollo's growth profile from financial-services discount to alternatives-platform premium [5]</w:t>
      </w:r>
    </w:p>
    <w:p>
      <w:pPr>
        <w:spacing w:before="40" w:after="40"/>
        <w:ind w:left="283"/>
      </w:pPr>
      <w:r>
        <w:rPr>
          <w:rFonts w:ascii="Calibri" w:hAnsi="Calibri"/>
          <w:b/>
          <w:color w:val="4A6B25"/>
          <w:sz w:val="20"/>
        </w:rPr>
        <w:t xml:space="preserve">3. </w:t>
      </w:r>
      <w:r>
        <w:rPr>
          <w:rFonts w:ascii="Calibri" w:hAnsi="Calibri"/>
          <w:b w:val="0"/>
          <w:color w:val="3A4A28"/>
          <w:sz w:val="20"/>
        </w:rPr>
        <w:t>Signed and announced deal pipeline of $50B expected to close in upcoming quarters, providing visibility into H2 2026 deployment and fee generation with management guiding 20%+ FRE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Credit cycle deterioration — a recession would impair Apollo's $1T+ private credit, real estate, and PE portfolio, reduce origination volumes, and potentially trigger credit losses in the Athene insurance portfolio that carries long-duration tail risk [1]</w:t>
      </w:r>
    </w:p>
    <w:p>
      <w:pPr>
        <w:spacing w:before="40" w:after="40"/>
        <w:ind w:left="283"/>
      </w:pPr>
      <w:r>
        <w:rPr>
          <w:rFonts w:ascii="Calibri" w:hAnsi="Calibri"/>
          <w:b/>
          <w:color w:val="4A6B25"/>
          <w:sz w:val="20"/>
        </w:rPr>
        <w:t xml:space="preserve">2. </w:t>
      </w:r>
      <w:r>
        <w:rPr>
          <w:rFonts w:ascii="Calibri" w:hAnsi="Calibri"/>
          <w:b w:val="0"/>
          <w:color w:val="3A4A28"/>
          <w:sz w:val="20"/>
        </w:rPr>
        <w:t>Fee compression risk as alternative asset management becomes commoditized — growth of private credit ETFs, direct lending platforms, and AI-enhanced investment tools could erode the fee premium supporting Apollo's 58.5% FRE margin [2]</w:t>
      </w:r>
    </w:p>
    <w:p>
      <w:pPr>
        <w:spacing w:before="40" w:after="40"/>
        <w:ind w:left="283"/>
      </w:pPr>
      <w:r>
        <w:rPr>
          <w:rFonts w:ascii="Calibri" w:hAnsi="Calibri"/>
          <w:b/>
          <w:color w:val="4A6B25"/>
          <w:sz w:val="20"/>
        </w:rPr>
        <w:t xml:space="preserve">3. </w:t>
      </w:r>
      <w:r>
        <w:rPr>
          <w:rFonts w:ascii="Calibri" w:hAnsi="Calibri"/>
          <w:b w:val="0"/>
          <w:color w:val="3A4A28"/>
          <w:sz w:val="20"/>
        </w:rPr>
        <w:t>Governance and alignment concerns — $135M net insider selling in 12 months, Leon Black/Epstein reputational overhang, and GAAP vs adjusted earnings complexity create persistent trust gaps with institutional investors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Apollo's core business involves complex, relationship-driven deal-making, regulatory compliance, and physical asset management that AI cannot easily replicate. Private equity and credit origination require human judgment in evaluating management teams, negotiating deal terms, and managing portfolio companies through operational transformations [2]. Athene's insurance operations involve long-duration actuarial liabilities and regulatory oversight creating structural barriers to AI displacement. However, meaningful AI exposure exists — investment analysis, portfolio monitoring, credit underwriting, and reporting functions could be partially automated, and competitors like Blackstone are investing heavily in AI-enhanced processes. The broader alternative asset management industry faces long-term fee compression risk if AI democratizes investment access and analysis. AI Opportunity (0/1): Apollo uses AI tools internally for investment analysis and is investing in AI through portfolio companies, but generates no separable AI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Apollo Q2 2026 Earnings — Revenue $11.15B (+64% YoY), FRE $785M (+25%), SRE $877M (+11%), AUM $1.05T, Fee-Generating AUM $858B (+34%), Origination $74B — ir.apollo.com, August 2026</w:t>
      </w:r>
    </w:p>
    <w:p>
      <w:pPr>
        <w:spacing w:before="20" w:after="20"/>
        <w:ind w:left="170"/>
      </w:pPr>
      <w:r>
        <w:rPr>
          <w:rFonts w:ascii="Calibri" w:hAnsi="Calibri"/>
          <w:b/>
          <w:color w:val="4A6B25"/>
          <w:sz w:val="15"/>
        </w:rPr>
        <w:t xml:space="preserve">2. </w:t>
      </w:r>
      <w:r>
        <w:rPr>
          <w:rFonts w:ascii="Calibri" w:hAnsi="Calibri"/>
          <w:b w:val="0"/>
          <w:color w:val="3A4A28"/>
          <w:sz w:val="17"/>
        </w:rPr>
        <w:t>Apollo Corporate — CEO Marc Rowan, AI Strategy, 'Purchase Price Matters' Philosophy, Glassdoor 4.0 Rating (90% CEO Approval), apollo.com, 2026</w:t>
      </w:r>
    </w:p>
    <w:p>
      <w:pPr>
        <w:spacing w:before="20" w:after="20"/>
        <w:ind w:left="170"/>
      </w:pPr>
      <w:r>
        <w:rPr>
          <w:rFonts w:ascii="Calibri" w:hAnsi="Calibri"/>
          <w:b/>
          <w:color w:val="4A6B25"/>
          <w:sz w:val="15"/>
        </w:rPr>
        <w:t xml:space="preserve">3. </w:t>
      </w:r>
      <w:r>
        <w:rPr>
          <w:rFonts w:ascii="Calibri" w:hAnsi="Calibri"/>
          <w:b w:val="0"/>
          <w:color w:val="3A4A28"/>
          <w:sz w:val="17"/>
        </w:rPr>
        <w:t>Apollo ESG and Governance — Leon Black/Epstein Controversy (2021), Gary Cohn Lead Independent Director, Sustainable Investing Policy, apollo.com/Bloomberg/FA-Mag, 2021-2026</w:t>
      </w:r>
    </w:p>
    <w:p>
      <w:pPr>
        <w:spacing w:before="20" w:after="20"/>
        <w:ind w:left="170"/>
      </w:pPr>
      <w:r>
        <w:rPr>
          <w:rFonts w:ascii="Calibri" w:hAnsi="Calibri"/>
          <w:b/>
          <w:color w:val="4A6B25"/>
          <w:sz w:val="15"/>
        </w:rPr>
        <w:t xml:space="preserve">4. </w:t>
      </w:r>
      <w:r>
        <w:rPr>
          <w:rFonts w:ascii="Calibri" w:hAnsi="Calibri"/>
          <w:b w:val="0"/>
          <w:color w:val="3A4A28"/>
          <w:sz w:val="17"/>
        </w:rPr>
        <w:t>Insider Trading — Net Selling $135M (12 months), John Zito Sold 49K Shares ($6.4M), Marc Rowan Holds 34.2M Shares — SEC Filings/TipRanks,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APO Key Statistics: Price $110.78, Market Cap $65.4B, Forward PE 10.38, Trailing PE 39.71, D/E 101%, ROE 11.4%, Avg Volume 3.33M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