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ARAY</w:t>
      </w:r>
      <w:r>
        <w:rPr>
          <w:rFonts w:ascii="Calibri" w:hAnsi="Calibri"/>
          <w:b/>
          <w:color w:val="1A2010"/>
          <w:sz w:val="40"/>
        </w:rPr>
        <w:t xml:space="preserve">  Accuray Incorporated</w:t>
      </w:r>
    </w:p>
    <w:p>
      <w:pPr>
        <w:spacing w:after="120"/>
      </w:pPr>
      <w:r>
        <w:rPr>
          <w:rFonts w:ascii="Calibri" w:hAnsi="Calibri"/>
          <w:b/>
          <w:color w:val="6E8450"/>
          <w:sz w:val="18"/>
        </w:rPr>
        <w:t>GROWTH SLEEVE · 2026-09-26 · Inspire: 46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Accuray Incorporated, headquartered in Madison, Wisconsin, develops, manufactures, and sells radiation oncology systems including the CyberKnife, TomoTherapy, and Radixact platforms for treating complex cancer cases. FY2025 net revenue grew 3% to $458.5M with Adjusted EBITDA of $28.3M, but FY2026 guidance was cut from $471-485M to $440-450M in revenue amid geopolitical delays to system installations in Middle East markets, and the company installed new CEO Steve La Neve in October 2025 to lead a performance turnaround.</w:t>
      </w:r>
    </w:p>
    <w:p>
      <w:r>
        <w:rPr>
          <w:rFonts w:ascii="Calibri" w:hAnsi="Calibri"/>
          <w:b/>
          <w:color w:val="6E8450"/>
          <w:sz w:val="18"/>
        </w:rPr>
        <w:t>990 Employees · https://www.accuray.com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Accuray's revenue grew only 3% in FY2025 with no major product pivot or transformative launch; the recent CEO change (Steve La Neve replacing Suzanne Winter in October 2025) signals a turnaround attempt rather than a completed transformation [2]. AI Deployment (0/2): No evidence of AI product deployment or AI-driven internal savings was found. Market Share (1/2): Accuray is a meaningful but non-dominant player in radiation oncology behind larger competitors (Varian/Siemens Healthineers, Elekta), and its FY2026 guidance cut due to installation delays in Middle East markets suggests softening rather than gaining share [1]. Product Pipeline (0/2): No specific next-generation product with a named launch timeline was found. R&amp;D Intensity (0/1): No R&amp;D-to-revenue comparison versus medical device industry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Accuray's stated dedication to 'continuous innovation in radiation therapy for oncology, neuro-radiosurgery, and beyond' is clear and service-oriented (treating complex cancer cases) but reads as a product description rather than a distinctive, transformative vision [2]. Community Impact (0/2): No evidence of charitable giving or community investment programs was found. Employee Retention (0/2): Employee reviews are mixed-to-negative, with reports that 'the atmosphere and culture have eroded' and that management does not seek input from experienced staff, alongside two CEO transitions in recent years [2]. Insider Buying (0/2): No evidence of net insider buying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1,204,662 shares at a $0.22 stock price is approximately $265,000/day in dollar volume, below the $1,000,000 liquidity floor required for IOWN to trade this name. Per the hard rule, Infrastructure score is set to 0 regardless of all other metrics. For reference, the underlying metrics are weak even independent of the floor: D/E of 441.0% is far above the 300% floor, ROE of -80.1% and profit margin of -12.2% are both negative, revenue growth of -20.9% YoY is at the floor, and forward P/E of -0.90 reflects an unprofitable, guidance-cut FY2026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Accuray's mission of treating complex cancer cases is genuinely service-oriented, but recent execution — a guidance cut driven by Middle East installation delays, a CEO change specifically to fix underperformance, and employee reports of eroded culture — reflects a company managing near-term operational problems rather than one demonstrating consistent long-term conviction.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mission to deliver 'market-changing solutions' for complex radiation oncology cases is service-oriented toward cancer patients, but it reads as a product-line description rather than an idealistic future-state vision, and no evidence was found that it has shaped strategy through the company's recent turnaround period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reviews describing an eroded culture and management that does not seek input from experienced staff, combined with a recent CEO transition, point to a lower-trust environment rather than psychological safety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management commentary referencing competitors in a learning-oriented way was found.</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No evidence of a strategic pivot or business model reinvention was found; the company remains focused on its legacy CyberKnife/TomoTherapy/Radixact radiation therapy platforms.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FY2026 guidance cut and CEO change reflect reactive correction of underperformance (installation delays in Middle East markets) rather than a proactive, costly long-term bet by leadership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Accuray holds a defensible niche in radiation oncology with its CyberKnife, TomoTherapy, and Radixact platforms, and FY2025 revenue grew 3% to $458.5M with Adjusted EBITDA improving to $28.3M from $19.7M a year earlier [1]. New CEO Steve La Neve, who has 40+ years of medtech experience and a track record of driving margin expansion, was brought in specifically to reset performance, and the Inspire Insight score of 46 reflects positive attributions in customer welfare, data security, and ethical supply chain practices [Inspire data].</w:t>
      </w:r>
    </w:p>
    <w:p>
      <w:pPr>
        <w:spacing w:after="120"/>
      </w:pPr>
      <w:r>
        <w:rPr>
          <w:rFonts w:ascii="Calibri" w:hAnsi="Calibri"/>
          <w:b w:val="0"/>
          <w:color w:val="3A4A28"/>
          <w:sz w:val="20"/>
        </w:rPr>
        <w:t>The bear case is severe: FY2026 revenue guidance was cut from $471-485M to $440-450M and Adjusted EBITDA guidance was cut from $31-35M to $22-25M due to unpredictable installation timing in Middle East markets, and the company at one point withdrew financial guidance entirely [1]. Average daily dollar volume of roughly $265,000 falls well below the $1,000,000 IOWN liquidity floor, triggering an automatic zero on Infrastructure, while D/E of 441% and negative ROE (-80.1%) and profit margin (-12.2%) confirm balance sheet and profitability stress independent of the liquidity rule. Employee reviews describing eroded culture and unresponsive management, layered on a recent CEO transition, raise questions about organizational stability during an already difficult operating environment.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New CEO Steve La Neve's turnaround plan, backed by a 40+ year medtech track record of margin expansion, could stabilize execution if Middle East installation delays resolve [2]</w:t>
      </w:r>
    </w:p>
    <w:p>
      <w:pPr>
        <w:spacing w:before="40" w:after="40"/>
        <w:ind w:left="283"/>
      </w:pPr>
      <w:r>
        <w:rPr>
          <w:rFonts w:ascii="Calibri" w:hAnsi="Calibri"/>
          <w:b/>
          <w:color w:val="4A6B25"/>
          <w:sz w:val="20"/>
        </w:rPr>
        <w:t xml:space="preserve">2. </w:t>
      </w:r>
      <w:r>
        <w:rPr>
          <w:rFonts w:ascii="Calibri" w:hAnsi="Calibri"/>
          <w:b w:val="0"/>
          <w:color w:val="3A4A28"/>
          <w:sz w:val="20"/>
        </w:rPr>
        <w:t>FY2025 Adjusted EBITDA improvement to $28.3M from $19.7M shows some underlying operating leverage before the FY2026 guidance cut [1]</w:t>
      </w:r>
    </w:p>
    <w:p>
      <w:pPr>
        <w:spacing w:before="40" w:after="40"/>
        <w:ind w:left="283"/>
      </w:pPr>
      <w:r>
        <w:rPr>
          <w:rFonts w:ascii="Calibri" w:hAnsi="Calibri"/>
          <w:b/>
          <w:color w:val="4A6B25"/>
          <w:sz w:val="20"/>
        </w:rPr>
        <w:t xml:space="preserve">3. </w:t>
      </w:r>
      <w:r>
        <w:rPr>
          <w:rFonts w:ascii="Calibri" w:hAnsi="Calibri"/>
          <w:b w:val="0"/>
          <w:color w:val="3A4A28"/>
          <w:sz w:val="20"/>
        </w:rPr>
        <w:t>Resolution of geopolitical disruption to Middle East installations could restore the originally guided $471-485M FY2026 revenue trajectory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Average daily dollar volume of approximately $265,000 is far below the $1,000,000 IOWN liquidity floor, triggering an automatic Infrastructure score of zero [4]</w:t>
      </w:r>
    </w:p>
    <w:p>
      <w:pPr>
        <w:spacing w:before="40" w:after="40"/>
        <w:ind w:left="283"/>
      </w:pPr>
      <w:r>
        <w:rPr>
          <w:rFonts w:ascii="Calibri" w:hAnsi="Calibri"/>
          <w:b/>
          <w:color w:val="4A6B25"/>
          <w:sz w:val="20"/>
        </w:rPr>
        <w:t xml:space="preserve">2. </w:t>
      </w:r>
      <w:r>
        <w:rPr>
          <w:rFonts w:ascii="Calibri" w:hAnsi="Calibri"/>
          <w:b w:val="0"/>
          <w:color w:val="3A4A28"/>
          <w:sz w:val="20"/>
        </w:rPr>
        <w:t>FY2026 guidance was cut twice, with revenue guidance reduced from $471-485M to $440-450M and EBITDA guidance cut from $31-35M to $22-25M due to Middle East installation delays, and D/E of 441% leaves little balance sheet flexibility [1]</w:t>
      </w:r>
    </w:p>
    <w:p>
      <w:pPr>
        <w:spacing w:before="40" w:after="40"/>
        <w:ind w:left="283"/>
      </w:pPr>
      <w:r>
        <w:rPr>
          <w:rFonts w:ascii="Calibri" w:hAnsi="Calibri"/>
          <w:b/>
          <w:color w:val="4A6B25"/>
          <w:sz w:val="20"/>
        </w:rPr>
        <w:t xml:space="preserve">3. </w:t>
      </w:r>
      <w:r>
        <w:rPr>
          <w:rFonts w:ascii="Calibri" w:hAnsi="Calibri"/>
          <w:b w:val="0"/>
          <w:color w:val="3A4A28"/>
          <w:sz w:val="20"/>
        </w:rPr>
        <w:t>Employee reviews citing eroded culture and unresponsive management, combined with a recent CEO transition, raise execution risk during an already challenged turnaround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Radiation oncology capital equipment is protected by FDA regulatory approval requirements, deep clinical integration, and multi-year capital-purchase cycles with hospital systems, all of which are structural moats against AI substitution; AI is more likely to enhance treatment-planning software as a complementary tool than to replace the physical radiation delivery systems Accuray sells [1]. AI Opportunity (0/1): No specific quantifiable AI-related revenue or product was found.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Accuray Fiscal 2025/2026 Earnings Releases and Guidance — SEC 8-K filings, Yahoo Finance, 2025-2026</w:t>
      </w:r>
    </w:p>
    <w:p>
      <w:pPr>
        <w:spacing w:before="20" w:after="20"/>
        <w:ind w:left="170"/>
      </w:pPr>
      <w:r>
        <w:rPr>
          <w:rFonts w:ascii="Calibri" w:hAnsi="Calibri"/>
          <w:b/>
          <w:color w:val="4A6B25"/>
          <w:sz w:val="15"/>
        </w:rPr>
        <w:t xml:space="preserve">2. </w:t>
      </w:r>
      <w:r>
        <w:rPr>
          <w:rFonts w:ascii="Calibri" w:hAnsi="Calibri"/>
          <w:b w:val="0"/>
          <w:color w:val="3A4A28"/>
          <w:sz w:val="17"/>
        </w:rPr>
        <w:t>Accuray Leadership Transition and Employee Reviews — PRNewswire, Glassdoor, Indeed, 2025-2026</w:t>
      </w:r>
    </w:p>
    <w:p>
      <w:pPr>
        <w:spacing w:before="20" w:after="20"/>
        <w:ind w:left="170"/>
      </w:pPr>
      <w:r>
        <w:rPr>
          <w:rFonts w:ascii="Calibri" w:hAnsi="Calibri"/>
          <w:b/>
          <w:color w:val="4A6B25"/>
          <w:sz w:val="15"/>
        </w:rPr>
        <w:t xml:space="preserve">3. </w:t>
      </w:r>
      <w:r>
        <w:rPr>
          <w:rFonts w:ascii="Calibri" w:hAnsi="Calibri"/>
          <w:b w:val="0"/>
          <w:color w:val="3A4A28"/>
          <w:sz w:val="17"/>
        </w:rPr>
        <w:t>Accuray Company Profile — Wikipedia, Madison Biz,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yfinance — ARAY key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