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ARCC</w:t>
      </w:r>
      <w:r>
        <w:rPr>
          <w:rFonts w:ascii="Calibri" w:hAnsi="Calibri"/>
          <w:b/>
          <w:color w:val="1A2010"/>
          <w:sz w:val="40"/>
        </w:rPr>
        <w:t xml:space="preserve">  Ares Capital Corporation</w:t>
      </w:r>
    </w:p>
    <w:p>
      <w:pPr>
        <w:spacing w:after="120"/>
      </w:pPr>
      <w:r>
        <w:rPr>
          <w:rFonts w:ascii="Calibri" w:hAnsi="Calibri"/>
          <w:b/>
          <w:color w:val="6E8450"/>
          <w:sz w:val="18"/>
        </w:rPr>
        <w:t>DIVIDEND SLEEVE · 2026-10-14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Business Development Company · NMS · United States</w:t>
      </w:r>
    </w:p>
    <w:p>
      <w:pPr>
        <w:spacing w:after="80"/>
      </w:pPr>
      <w:r>
        <w:rPr>
          <w:rFonts w:ascii="Calibri" w:hAnsi="Calibri"/>
          <w:b w:val="0"/>
          <w:color w:val="3A4A28"/>
          <w:sz w:val="20"/>
        </w:rPr>
        <w:t>Ares Capital Corporation is the largest publicly traded business development company (BDC) in the United States, providing direct lending and other financing solutions to middle-market companies. Managed by Ares Management, ARCC invests primarily in first and second lien senior secured loans, mezzanine debt, and equity to private companies across a variety of industries. Q2 2026 core EPS was $0.47 (down 6% YoY), revenue ~$768M, and the company moved five borrowers to non-accrual status. The stock trades at 0.96x book value with a 10.3% dividend yield.</w:t>
      </w:r>
    </w:p>
    <w:p>
      <w:r>
        <w:rPr>
          <w:rFonts w:ascii="Calibri" w:hAnsi="Calibri"/>
          <w:b/>
          <w:color w:val="6E8450"/>
          <w:sz w:val="18"/>
        </w:rPr>
        <w:t>https://arcc.ares.com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(1/3): ARCC has expanded its addressable market incrementally through portfolio growth and launched the first-ever BDC Commercial Paper program in June 2026, securing lower-cost short-term capital [1][2]. AI Deployment (1/2): Parent Ares Management has reviewed 160+ AI use cases and deployed approximately 25 across operations, including portfolio monitoring and underwriting efficiency, though no AI products are shipped externally [7]. Market Share Leadership (2/2): ARCC is the undisputed largest BDC by total assets (~$27B portfolio) and market capitalization ($13.3B), with dominant scale advantages in middle-market origination and syndication capacity [3]. Product Pipeline (0/2): No meaningful next-generation product pipeline beyond incremental portfolio expansion. R&amp;D Intensity (0/1): Not applicable to BDC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Ares Capital's purpose centers on providing flexible, customized financing solutions to help middle-market companies grow — a clear value proposition but not a distinctive or transcendent purpose statement, interchangeable with other direct lenders [6]. Community Impact (1/2): The Ares Charitable Foundation supports education, workforce development, and community programs, though specific dollar amounts and measurable impact data are limited in public disclosures [6]. Employee Retention (0/2): No publicly available retention data, average tenure statistics, or specific evidence of purpose-driven employee loyalty. ARCC is externally managed with zero direct employees. Insider Buying (1/2): ARCC management conducted insider purchases in May 2026 when the stock yielded above 10%, signaling leadership conviction in dividend sustainability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Forward P/E of 9.60 scores well below the 20x target (score 1.0), and profit margin of 30.9% exceeds the 20% target (score 1.0) [3]. D/E of 114% is moderate and within BDC regulatory limits (score 0.81). ROE of 6.9% is below the 15% target (score 0.46), depressed by unrealized GAAP losses that reduce net income below NII. Revenue growth of 3.1% YoY is modest (score 0.77), though the 5-year CAGR of ~15% reflects strong portfolio expansion (score 1.0) [1][2]. On dividends, GAAP payout ratio of 143% exceeds the 100% floor (score 0.0), though this is structurally inherent to the BDC model that requires distributing 90%+ of taxable income — NII-based coverage was ~100% in Q2 2026. Consecutive years paid ~22 since 2004 (score 1.0, 2× weight), consecutive years growth ~3 (score 0.3), and 5-year dividend growth CAGR of ~4.4% (score 0.73, 2× weight). Daily dollar volume of ~$82M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Ares Capital operates with a competent but fundamentally finite mindset — optimizing returns within the BDC structure rather than pursuing a transformative purpose. The firm's 20+ year track record demonstrates durability, but strategic decisions are driven by spread optimization and portfolio growth rather than a deeper mission to reshape how middle-market companies access capital. The consistent dividend track record (67+ consecutive quarters of stable or growing distributions) reflects disciplined execution but not infinite-game ambition.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Ares Capital's purpose — providing flexible capital to middle-market companies — is clear and valuable but not a Just Cause in Sinek's framework. It describes what the company does, not a vision of a better future worth sacrificing for. The mission is interchangeable with dozens of competing BDCs and private credit firms [6].</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 public evidence of exceptional or poor team trust culture. Ares Management has maintained leadership continuity with Michael Arougheti as CEO since 2018 and Kort Schnabel leading ARCC, suggesting organizational stability. Average for the financial services industry — no red flags but no standout indicators of employee empowerment or psychological safety. ARCC is externally managed with zero direct employees, making team culture assessment dependent on the parent firm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ARCC frames itself in competitive terms as the largest BDC, emphasizing scale advantages and market dominance rather than learning from rivals. Management commentary focuses on origination volume and portfolio growth metrics — a finite competitive posture focused on winning market share rather than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ARCC has evolved incrementally from pure middle-market lending to a broader direct lending platform incorporating first lien, second lien, mezzanine, and equity investments, and recently launched its innovative Commercial Paper program [1]. However, these are extensions of the same model, not transformative pivots. The BDC structure itself limits existential flexibility — regulatory constraints define the business boundaries.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Ares Capital continued deploying capital and expanding its portfolio during the 2020 downturn when many competitors pulled back, demonstrating willingness to invest counter-cyclically [2]. Management maintained dividends through recent market volatility and moved five borrowers to non-accrual in Q2 2026 rather than hiding credit issues. However, these decisions were fundamentally about maximizing returns during dislocations — courageous from a business standpoint but driven by financial opportunity rather than a higher purpose.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Ares Capital at $18.56 trades at 0.96x book value with a 10.3% dividend yield, offering the highest-quality income stream in the BDC space backed by a $27B+ diversified portfolio of middle-market loans, dominant origination scale, and the backing of Ares Management's $450B+ AUM platform [1][2][3]. The Commercial Paper program launched in June 2026 reduces funding costs and demonstrates ARCC's unique ability to access capital markets unavailable to smaller BDCs. Core EPS of $0.47 in Q2 2026 covers the $0.48 quarterly dividend at near-100%, and the 67+ consecutive quarter track record of stable or growing distributions provides income visibility. The Inspire Impact Score of 37 (ALIGNED) makes this suitable for faith-based income portfolios.</w:t>
      </w:r>
    </w:p>
    <w:p>
      <w:pPr>
        <w:spacing w:after="120"/>
      </w:pPr>
      <w:r>
        <w:rPr>
          <w:rFonts w:ascii="Calibri" w:hAnsi="Calibri"/>
          <w:b w:val="0"/>
          <w:color w:val="3A4A28"/>
          <w:sz w:val="20"/>
        </w:rPr>
        <w:t>The bear case centers on earnings deterioration as the rate cycle turns. Trailing EPS of $1.34 — sharply below the $1.93 forward estimate — reflects GAAP net losses from unrealized markdowns, and Q2 2026 core EPS declined 6% YoY from $0.50 to $0.47, with five new borrowers moved to non-accrual [1][2]. Earnings growth of -54.1% and revenue growth decelerating from 8% to 3.1% YoY signal the golden era of high-rate BDC earnings is fading [3]. The ~$1B in AI-exposed software portfolio holdings creates indirect credit risk if AI disruption accelerates defaults among technology borrowers [7]. The GAAP payout ratio of 143% — while structurally inherent to the BDC model — leaves zero retained earnings buffer for credit losses in a recession, and any dividend cut from this yield level would trigger a severe sell-off. At 9.6x forward earnings, the stock prices in continued NII compression through the rate cutting cycle.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 Paper program reducing funding costs by an estimated 50-100bps vs. traditional BDC credit facilities, partially offsetting net interest margin compression from lower base rates [1]</w:t>
      </w:r>
    </w:p>
    <w:p>
      <w:pPr>
        <w:spacing w:before="40" w:after="40"/>
        <w:ind w:left="283"/>
      </w:pPr>
      <w:r>
        <w:rPr>
          <w:rFonts w:ascii="Calibri" w:hAnsi="Calibri"/>
          <w:b/>
          <w:color w:val="4A6B25"/>
          <w:sz w:val="20"/>
        </w:rPr>
        <w:t xml:space="preserve">2. </w:t>
      </w:r>
      <w:r>
        <w:rPr>
          <w:rFonts w:ascii="Calibri" w:hAnsi="Calibri"/>
          <w:b w:val="0"/>
          <w:color w:val="3A4A28"/>
          <w:sz w:val="20"/>
        </w:rPr>
        <w:t>Potential for increased deal flow as private equity sponsors resume M&amp;A activity in the middle market, driving origination volume growth and portfolio expansion [2]</w:t>
      </w:r>
    </w:p>
    <w:p>
      <w:pPr>
        <w:spacing w:before="40" w:after="40"/>
        <w:ind w:left="283"/>
      </w:pPr>
      <w:r>
        <w:rPr>
          <w:rFonts w:ascii="Calibri" w:hAnsi="Calibri"/>
          <w:b/>
          <w:color w:val="4A6B25"/>
          <w:sz w:val="20"/>
        </w:rPr>
        <w:t xml:space="preserve">3. </w:t>
      </w:r>
      <w:r>
        <w:rPr>
          <w:rFonts w:ascii="Calibri" w:hAnsi="Calibri"/>
          <w:b w:val="0"/>
          <w:color w:val="3A4A28"/>
          <w:sz w:val="20"/>
        </w:rPr>
        <w:t>Dividend sustainability supported by 67+ consecutive quarters of stable or growing distributions and near-100% NII coverage of the $0.48/quarter payout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Interest rate compression in 2026-2027 could squeeze net investment income by 10-15% as floating-rate loan yields decline faster than funding costs adjust — Q2 2026 core EPS already declined 6% YoY [1][2]</w:t>
      </w:r>
    </w:p>
    <w:p>
      <w:pPr>
        <w:spacing w:before="40" w:after="40"/>
        <w:ind w:left="283"/>
      </w:pPr>
      <w:r>
        <w:rPr>
          <w:rFonts w:ascii="Calibri" w:hAnsi="Calibri"/>
          <w:b/>
          <w:color w:val="4A6B25"/>
          <w:sz w:val="20"/>
        </w:rPr>
        <w:t xml:space="preserve">2. </w:t>
      </w:r>
      <w:r>
        <w:rPr>
          <w:rFonts w:ascii="Calibri" w:hAnsi="Calibri"/>
          <w:b w:val="0"/>
          <w:color w:val="3A4A28"/>
          <w:sz w:val="20"/>
        </w:rPr>
        <w:t>Approximately $1 billion in software portfolio investments face medium AI disruption risk per Ares Management's own stress test, creating potential credit deterioration in 5-8% of the portfolio [7]</w:t>
      </w:r>
    </w:p>
    <w:p>
      <w:pPr>
        <w:spacing w:before="40" w:after="40"/>
        <w:ind w:left="283"/>
      </w:pPr>
      <w:r>
        <w:rPr>
          <w:rFonts w:ascii="Calibri" w:hAnsi="Calibri"/>
          <w:b/>
          <w:color w:val="4A6B25"/>
          <w:sz w:val="20"/>
        </w:rPr>
        <w:t xml:space="preserve">3. </w:t>
      </w:r>
      <w:r>
        <w:rPr>
          <w:rFonts w:ascii="Calibri" w:hAnsi="Calibri"/>
          <w:b w:val="0"/>
          <w:color w:val="3A4A28"/>
          <w:sz w:val="20"/>
        </w:rPr>
        <w:t>BDC regulatory structure requires 90%+ income distribution, leaving minimal retained earnings buffer for credit losses — five new non-accrual borrowers in Q2 2026 signal potential credit deterioration in the broader middle-market lending environment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ARCC's core business of direct lending to middle-market companies involves relationship-driven origination, credit underwriting judgment, and bespoke deal structuring that AI cannot readily automate — providing meaningful protection against disruption [7]. Parent Ares Management stress-tested its portfolio and found 86% at low AI disruption risk and 13% at medium risk. However, ARCC disclosed that nearly $1 billion of its software portfolio investments face medium AI disruption risk, creating indirect exposure through potential credit deterioration in AI-vulnerable borrowers [7]. CEO Schnabel acknowledged technology obsolescence as the top risk in the software lending space, and Ares CEO Arougheti described the AI fear narrative as 'odd and frustrating,' noting software is only ~6% of total exposures. AI Opportunity (0/1): No AI-driven revenue generation. Parent Ares deploys ~25 AI use cases internally for operational efficiency, but these do not generate revenue for ARCC.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Ares Capital Corporation Q1 FY2026 Earnings Release — Core EPS $0.47 (down 6% YoY), Revenue ~$763M — Seeking Alpha, SEC Filing, April 2026</w:t>
      </w:r>
    </w:p>
    <w:p>
      <w:pPr>
        <w:spacing w:before="20" w:after="20"/>
        <w:ind w:left="170"/>
      </w:pPr>
      <w:r>
        <w:rPr>
          <w:rFonts w:ascii="Calibri" w:hAnsi="Calibri"/>
          <w:b/>
          <w:color w:val="4A6B25"/>
          <w:sz w:val="15"/>
        </w:rPr>
        <w:t xml:space="preserve">2. </w:t>
      </w:r>
      <w:r>
        <w:rPr>
          <w:rFonts w:ascii="Calibri" w:hAnsi="Calibri"/>
          <w:b w:val="0"/>
          <w:color w:val="3A4A28"/>
          <w:sz w:val="17"/>
        </w:rPr>
        <w:t>Ares Capital Corporation Q2 FY2026 Earnings Release — Core EPS $0.47, Revenue ~$768M, Five Borrowers Moved to Non-Accrual — Barchart, SEC Filing, July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ARCC Key Statistics: Stock Price $18.56, Forward P/E 9.60, D/E 114%, Profit Margin 30.9%, Market Cap $13.3B,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Ares Management BofA Conference — Record Pipeline, AI Strategy, 160+ AI Use Cases Evaluated — MarketBeat, February 2026</w:t>
      </w:r>
    </w:p>
    <w:p>
      <w:pPr>
        <w:spacing w:before="20" w:after="20"/>
        <w:ind w:left="170"/>
      </w:pPr>
      <w:r>
        <w:rPr>
          <w:rFonts w:ascii="Calibri" w:hAnsi="Calibri"/>
          <w:b/>
          <w:color w:val="4A6B25"/>
          <w:sz w:val="15"/>
        </w:rPr>
        <w:t xml:space="preserve">5. </w:t>
      </w:r>
      <w:r>
        <w:rPr>
          <w:rFonts w:ascii="Calibri" w:hAnsi="Calibri"/>
          <w:b w:val="0"/>
          <w:color w:val="3A4A28"/>
          <w:sz w:val="17"/>
        </w:rPr>
        <w:t>ARCC Dividend History — 10.34% Yield, 22 Consecutive Years Paid, Insider Purchases May 2026 — GuruFocus, accessed October 2026</w:t>
      </w:r>
    </w:p>
    <w:p>
      <w:pPr>
        <w:spacing w:before="20" w:after="20"/>
        <w:ind w:left="170"/>
      </w:pPr>
      <w:r>
        <w:rPr>
          <w:rFonts w:ascii="Calibri" w:hAnsi="Calibri"/>
          <w:b/>
          <w:color w:val="4A6B25"/>
          <w:sz w:val="15"/>
        </w:rPr>
        <w:t xml:space="preserve">6. </w:t>
      </w:r>
      <w:r>
        <w:rPr>
          <w:rFonts w:ascii="Calibri" w:hAnsi="Calibri"/>
          <w:b w:val="0"/>
          <w:color w:val="3A4A28"/>
          <w:sz w:val="17"/>
        </w:rPr>
        <w:t>Ares Management — ESG and Corporate Responsibility, Ares Charitable Foundation Programs — Corporate Website, accessed October 2026</w:t>
      </w:r>
    </w:p>
    <w:p>
      <w:pPr>
        <w:spacing w:before="20" w:after="20"/>
        <w:ind w:left="170"/>
      </w:pPr>
      <w:r>
        <w:rPr>
          <w:rFonts w:ascii="Calibri" w:hAnsi="Calibri"/>
          <w:b/>
          <w:color w:val="4A6B25"/>
          <w:sz w:val="15"/>
        </w:rPr>
        <w:t xml:space="preserve">7. </w:t>
      </w:r>
      <w:r>
        <w:rPr>
          <w:rFonts w:ascii="Calibri" w:hAnsi="Calibri"/>
          <w:b w:val="0"/>
          <w:color w:val="3A4A28"/>
          <w:sz w:val="17"/>
        </w:rPr>
        <w:t>Bloomberg/TIKR — 'Ares CEO Calls AI, Private Credit Fears Odd and Frustrating,' 86% of Portfolio at Low AI Risk, $1B Software Exposure at Medium Risk — February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