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ARDT</w:t>
      </w:r>
      <w:r>
        <w:rPr>
          <w:rFonts w:ascii="Calibri" w:hAnsi="Calibri"/>
          <w:b/>
          <w:color w:val="1A2010"/>
          <w:sz w:val="40"/>
        </w:rPr>
        <w:t xml:space="preserve">  Ardent Health, Inc.</w:t>
      </w:r>
    </w:p>
    <w:p>
      <w:pPr>
        <w:spacing w:after="120"/>
      </w:pPr>
      <w:r>
        <w:rPr>
          <w:rFonts w:ascii="Calibri" w:hAnsi="Calibri"/>
          <w:b/>
          <w:color w:val="6E8450"/>
          <w:sz w:val="18"/>
        </w:rPr>
        <w:t>GROWTH SLEEVE · 2026-10-10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NYSE · United States</w:t>
      </w:r>
    </w:p>
    <w:p>
      <w:pPr>
        <w:spacing w:after="80"/>
      </w:pPr>
      <w:r>
        <w:rPr>
          <w:rFonts w:ascii="Calibri" w:hAnsi="Calibri"/>
          <w:b w:val="0"/>
          <w:color w:val="3A4A28"/>
          <w:sz w:val="20"/>
        </w:rPr>
        <w:t>Ardent Health, Inc. owns and operates a network of hospitals and clinics providing healthcare services across the United States, including general and specialty services such as internal medicine, general surgery, cardiology, oncology, orthopedics, women's services, neurology, and emergency care. The company operates 30 acute care hospitals and approximately 280 sites of care with over 1,800 affiliated providers across six states. New CEO Dave Caspers was elevated from COO in 2026, replacing Marty Bonick. Ardent is a subsidiary of EGI-AM Investments. Q1 2026 revenue grew 7% YoY to $1.60B, but Q2 2026 revenue declined 1.4% to $1.62B. FY2026 guidance reaffirmed at $6.4-$6.7B revenue.</w:t>
      </w:r>
    </w:p>
    <w:p>
      <w:r>
        <w:rPr>
          <w:rFonts w:ascii="Calibri" w:hAnsi="Calibri"/>
          <w:b/>
          <w:color w:val="6E8450"/>
          <w:sz w:val="18"/>
        </w:rPr>
        <w:t>19,500 Employees · https://www.ardenthealth.com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Ardent has grown revenue from $5.1B in 2022 to $6.3B TTM, primarily through hospital network expansion and service line additions across Oklahoma, New Mexico, Texas, and Kansas [1]. The 2024 IPO marked a structural transition from private to public ownership. This represents steady operational growth but not a transformative business model pivot. AI Deployment (2/2): Ardent deployed enterprise AI through a partnership with hellocare.ai for AI-assisted virtual physician care, virtual nursing, and patient safety tools, while also implementing Ambience ambient documentation enabling physicians to focus on patient conversations while AI handles clinical notes [2]. Former CEO Bonick reported strong physician adoption at ViVE 2025, and a chief data officer was appointed to lead AI and data science initiatives. Market Share (1/2): Operating 30 hospitals and 280 sites across six states positions Ardent as a meaningful regional healthcare provider, but it remains mid-sized against HCA Healthcare ($65B+), Tenet, and Community Health Systems [1]. Pipeline (1/2): Management reaffirmed 2026 guidance of $6.4-$6.7B revenue and $485-$535M adjusted EBITDA, with the IMPACT technology initiative expected to drive EBITDA growth recovery [1]. R&amp;D Intensity (0/1): Hospital systems do not conduct traditional R&amp;D; innovation comes through technology adoption and operational improvements.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Ardent's leadership emphasizes a 'competitive team spirit' and dedication to healthcare delivery in mid-sized urban communities, with focus on performance, operational excellence, care transformation, and innovation [2]. The healthcare delivery purpose is genuine but reads as standard for any hospital system. Community Impact (1/2): As a hospital operator serving mid-sized urban communities across six states, Ardent provides essential healthcare infrastructure including emergency departments and specialty services in markets that might otherwise lack access [1]. Named Top Workplace in Middle Tennessee for the eighth time and received six Comparably awards including Best Leadership Teams [2]. Employee Retention (0/2): The CEO transition from Bonick to Caspers was an internal promotion from COO, providing some leadership continuity, but no specific employee tenure, turnover, or retention data was found for Ardent's 19,500 employees [2]. Insider Buying (1/2): Director Robert DeMichiei purchased 11,260 shares and CFO Alfred Lumsdaine bought 10,000 shares at $8.81 ($88,100) in June 2026, representing modest but positive insider buying during stock price weakness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Ardent's infrastructure reflects attractive valuation and steady long-term growth offset by thin and deteriorating margins. Forward P/E of 9.0x scores at ceiling (score 1.0), reflecting deep value pricing for a $6.4B revenue hospital system [1]. D/E of 130.19% is elevated but scores 0.74 based on $2.27B debt against equity. ROE of 9.96% is below the 15% target (score 0.66, 2x weight). Revenue growth has turned negative in Q2 2026 at -1.4% YoY (score 0.62), driven by the lapping of two quarters of New Mexico state directed payment program benefits in the prior year [1]. Five-year revenue CAGR of approximately 7.2% provides modest long-term growth (score 0.81, 2x weight). Profit margin of 1.22% is structurally thin and further deteriorated from 2.15% previously, with Q2 2026 net income falling to $17M from $73M a year earlier (score 0.06) [1]. Liquidity floor cleared: 447,096 avg daily volume x $11.30 = $5.05M.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Ardent Health operates with a finite mindset typical of newly public hospital systems — optimizing for quarterly earnings guidance, managing margin pressure, and navigating a CEO transition. The Q2 2026 margin collapse to 1.22% and revenue decline highlight short-term operational challenges. The company's healthcare purpose is genuine but undifferentiated, and there is limited evidence of purpose-driven long-term decision-making. The securities class action over revenue accounting and $97M reserve issues further suggest governance concerns.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Ardent's purpose — delivering healthcare to mid-sized urban communities that often lack adequate infrastructure — connects to a genuine cause extending beyond quarterly earnings [2]. The company's 25-year operating history demonstrates sustained commitment to community healthcare. However, the mission is not distinctive among hospital operators, the PE-backed ownership structure (EGI-AM Investments subsidiary) emphasizes financial returns, and the CEO transition signals strategic shifts driven by performance rather than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internal promotion of COO Dave Caspers to CEO suggests organizational stability and trust in internal talent development [2]. Named Top Workplace in Middle Tennessee for the eighth time and received Comparably awards for Best Leadership Teams. However, no specific employee engagement data or tenure metrics were identified across the 19,500-employee system where culture inevitably varies by facility.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referencing competitors' strengths as motivation for improvement. Ardent competes against HCA Healthcare, Community Health Systems, and Tenet Healthcare but management commentary focuses on internal execution, admissions growth, and EBITDA targets rather than learning from larger rivals' operational advantages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Ardent expanded from pure acute care hospital operations into ambulatory surgery centers, urgent care centers, telehealth services, and completed the 2024 IPO transition from PE ownership to public markets [1][2]. The hellocare.ai partnership represents technology-driven evolution. These represent incremental strategic evolution rather than transformative reinvention — the core business of operating community hospitals remains unchanged.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Management characterized 2026 as a challenging period with Q2 profit margin collapsing to 1.22% and revenue declining 1.4% YoY, while EPS fell from $0.52 to effectively $0.12 [1]. The company faces a securities class action over $43M in revenue reductions tied to collectability estimates and a $54M increase in professional liability reserves, suggesting accounting and governance weaknesses rather than courageous long-term investments [3]. No evidence of leadership making costly long-term bets or sacrificing near-term results for future capability was found.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Ardent Health trades at a deeply discounted 9.0x forward P/E with $6.3B in TTM revenue across 30 hospitals and 280 sites of care, offering deep value exposure to a resilient healthcare services business [1]. Q1 2026 showed encouraging momentum with revenue up 7% YoY and adjusted EBITDA up 26.3% (15% excluding a $10.9M investment gain), demonstrating disciplined cost management can drive margin expansion [1]. New CEO Dave Caspers brings operational focus from his COO tenure and is driving the IMPACT program targeting margins and care transformation. Insider buying by director DeMichiei and CFO Lumsdaine at $8.81 signals internal confidence at depressed valuations [3]. The healthcare delivery model is structurally protected from AI disruption, and the Inspire ALIGNED score of 45 confirms governance quality.</w:t>
      </w:r>
    </w:p>
    <w:p>
      <w:pPr>
        <w:spacing w:after="120"/>
      </w:pPr>
      <w:r>
        <w:rPr>
          <w:rFonts w:ascii="Calibri" w:hAnsi="Calibri"/>
          <w:b w:val="0"/>
          <w:color w:val="3A4A28"/>
          <w:sz w:val="20"/>
        </w:rPr>
        <w:t>The bear case centers on accelerating margin compression, accounting concerns, and execution risk. Q2 2026 profitability deteriorated sharply — profit margin fell to approximately 1.0%, net income dropped to $17M from $73M a year earlier, and revenue declined 1.4% YoY as the company lapped two quarters of New Mexico directed payment benefits recognized in the prior year [1]. Ardent faces a securities class action covering investors from July 2024 to November 2025 over a $43M revenue reduction tied to collectability estimates and a $54M professional liability reserve increase that triggered a 33.8% stock decline [3]. D/E of 130% with $2.27B debt represents meaningful leverage for a business generating only 1.22% net margins, leaving minimal buffer against further deterioration. Hospital operators face structural headwinds from rising professional fees, nurse staffing shortages, payer mix pressure, and government reimbursement uncertainty. The CEO transition during the most challenging margin environment since the IPO introduces additional execution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9.0x offers significant valuation upside if CEO Caspers stabilizes margins through the IMPACT operational excellence initiative, with FY2026 guidance of $6.4-$6.7B revenue and $485-$535M EBITDA providing a baseline for improvement [1]</w:t>
      </w:r>
    </w:p>
    <w:p>
      <w:pPr>
        <w:spacing w:before="40" w:after="40"/>
        <w:ind w:left="283"/>
      </w:pPr>
      <w:r>
        <w:rPr>
          <w:rFonts w:ascii="Calibri" w:hAnsi="Calibri"/>
          <w:b/>
          <w:color w:val="4A6B25"/>
          <w:sz w:val="20"/>
        </w:rPr>
        <w:t xml:space="preserve">2. </w:t>
      </w:r>
      <w:r>
        <w:rPr>
          <w:rFonts w:ascii="Calibri" w:hAnsi="Calibri"/>
          <w:b w:val="0"/>
          <w:color w:val="3A4A28"/>
          <w:sz w:val="20"/>
        </w:rPr>
        <w:t>AI-driven operational efficiencies — hellocare.ai virtual care, Ambience ambient documentation, automated billing — could reduce the administrative cost burden compressing hospital margins in 2027 and beyond [2]</w:t>
      </w:r>
    </w:p>
    <w:p>
      <w:pPr>
        <w:spacing w:before="40" w:after="40"/>
        <w:ind w:left="283"/>
      </w:pPr>
      <w:r>
        <w:rPr>
          <w:rFonts w:ascii="Calibri" w:hAnsi="Calibri"/>
          <w:b/>
          <w:color w:val="4A6B25"/>
          <w:sz w:val="20"/>
        </w:rPr>
        <w:t xml:space="preserve">3. </w:t>
      </w:r>
      <w:r>
        <w:rPr>
          <w:rFonts w:ascii="Calibri" w:hAnsi="Calibri"/>
          <w:b w:val="0"/>
          <w:color w:val="3A4A28"/>
          <w:sz w:val="20"/>
        </w:rPr>
        <w:t>Q1 2026 adjusted EBITDA grew 26.3% YoY to $124M, demonstrating that margin recovery is achievable when revenue growth and cost discipline align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profit margin collapsed to approximately 1.0% with net income of $17M versus $73M a year earlier, driven by the lapping of New Mexico directed payment benefits and higher labor costs, demonstrating the thin margin structure's vulnerability [1]</w:t>
      </w:r>
    </w:p>
    <w:p>
      <w:pPr>
        <w:spacing w:before="40" w:after="40"/>
        <w:ind w:left="283"/>
      </w:pPr>
      <w:r>
        <w:rPr>
          <w:rFonts w:ascii="Calibri" w:hAnsi="Calibri"/>
          <w:b/>
          <w:color w:val="4A6B25"/>
          <w:sz w:val="20"/>
        </w:rPr>
        <w:t xml:space="preserve">2. </w:t>
      </w:r>
      <w:r>
        <w:rPr>
          <w:rFonts w:ascii="Calibri" w:hAnsi="Calibri"/>
          <w:b w:val="0"/>
          <w:color w:val="3A4A28"/>
          <w:sz w:val="20"/>
        </w:rPr>
        <w:t>Securities class action over $43M revenue reduction and $54M professional liability reserve increase raises governance and accounting reliability concerns, with shares down 33.8% from the November 2025 disclosure [3]</w:t>
      </w:r>
    </w:p>
    <w:p>
      <w:pPr>
        <w:spacing w:before="40" w:after="40"/>
        <w:ind w:left="283"/>
      </w:pPr>
      <w:r>
        <w:rPr>
          <w:rFonts w:ascii="Calibri" w:hAnsi="Calibri"/>
          <w:b/>
          <w:color w:val="4A6B25"/>
          <w:sz w:val="20"/>
        </w:rPr>
        <w:t xml:space="preserve">3. </w:t>
      </w:r>
      <w:r>
        <w:rPr>
          <w:rFonts w:ascii="Calibri" w:hAnsi="Calibri"/>
          <w:b w:val="0"/>
          <w:color w:val="3A4A28"/>
          <w:sz w:val="20"/>
        </w:rPr>
        <w:t>D/E of 130% with $2.27B debt creates leverage risk for a business generating 1.22% net margins — sustained margin decline could trigger covenant concerns or credit downgrades, and the PE-backed ownership structure adds capital allocation uncertainty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Hospital-based healthcare delivery is structurally protected from AI disruption — surgeries, emergency care, inpatient treatment, and physical rehabilitation require human clinicians, physical facilities, and hands-on patient interaction that AI cannot replace [1]. Regulatory barriers including state licensing, CMS requirements, HIPAA compliance, and accreditation create additional moats. However, AI is transforming administrative functions (billing, coding, prior authorization, scheduling) and clinical decision support, and competitors who adopt AI faster may achieve cost advantages. AI-enabled shifts toward outpatient monitoring and remote diagnostics could gradually reduce inpatient admissions. Ardent's hellocare.ai partnership and Ambience deployment show proactive awareness [2]. AI Opportunity (0/1): No quantified AI revenue or revenue-generating AI products. AI investments are deployed operationally for internal efficiency — ambient documentation, virtual nursing, data analytics — rather than external revenue generation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Ardent Health Q1 and Q2 2026 Earnings Releases — Q1 revenue $1.60B (+7% YoY), EBITDA $124M (+26.3%), Q2 revenue $1.62B (-1.4% YoY), net income $17M vs $73M prior year, FY2026 guidance $6.4-$6.7B revenue / $485-$535M EBITDA reaffirmed — SEC 8-K filings, BusinessWire, 2026</w:t>
      </w:r>
    </w:p>
    <w:p>
      <w:pPr>
        <w:spacing w:before="20" w:after="20"/>
        <w:ind w:left="170"/>
      </w:pPr>
      <w:r>
        <w:rPr>
          <w:rFonts w:ascii="Calibri" w:hAnsi="Calibri"/>
          <w:b/>
          <w:color w:val="4A6B25"/>
          <w:sz w:val="15"/>
        </w:rPr>
        <w:t xml:space="preserve">2. </w:t>
      </w:r>
      <w:r>
        <w:rPr>
          <w:rFonts w:ascii="Calibri" w:hAnsi="Calibri"/>
          <w:b w:val="0"/>
          <w:color w:val="3A4A28"/>
          <w:sz w:val="17"/>
        </w:rPr>
        <w:t>Ardent Health Leadership and Technology — CEO Dave Caspers (from COO), hellocare.ai AI partnership, Ambience ambient documentation, Top Workplace Middle Tennessee 8x, Comparably Best Leadership Teams — Chief Healthcare Executive,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Ardent Health Legal and Governance — Securities class action (July 2024-November 2025 investor class), $43M revenue reduction, $54M reserve increase, Hagens Berman investigation, Director DeMichiei and CFO Lumsdaine insider purchases June 2026 — Becker's, Law360, InvestorsHangout,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