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ARDX</w:t>
      </w:r>
      <w:r>
        <w:rPr>
          <w:rFonts w:ascii="Calibri" w:hAnsi="Calibri"/>
          <w:b/>
          <w:color w:val="1A2010"/>
          <w:sz w:val="40"/>
        </w:rPr>
        <w:t xml:space="preserve">  Ardelyx, Inc.</w:t>
      </w:r>
    </w:p>
    <w:p>
      <w:pPr>
        <w:spacing w:after="120"/>
      </w:pPr>
      <w:r>
        <w:rPr>
          <w:rFonts w:ascii="Calibri" w:hAnsi="Calibri"/>
          <w:b/>
          <w:color w:val="6E8450"/>
          <w:sz w:val="18"/>
        </w:rPr>
        <w:t>GROWTH SLEEVE · 2026-10-20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Ardelyx discovers, develops, and commercializes innovative first-in-class medicines for gastrointestinal and cardiorenal diseases. The company markets IBSRELA (tenapanor) for irritable bowel syndrome with constipation (IBS-C) and XPHOZAH (tenapanor) for hyperphosphatemia in chronic kidney disease patients on dialysis. Q2 2026 revenue reached $118.1M (+31% YoY) driven by IBSRELA ($86.2M, +33%) and XPHOZAH ($31.9M, +27%). FY2026 IBSRELA guidance reduced to $350-370M due to payer restrictions; XPHOZAH guidance maintained at $110-120M. Market cap approximately $798M.</w:t>
      </w:r>
    </w:p>
    <w:p>
      <w:r>
        <w:rPr>
          <w:rFonts w:ascii="Calibri" w:hAnsi="Calibri"/>
          <w:b/>
          <w:color w:val="6E8450"/>
          <w:sz w:val="18"/>
        </w:rPr>
        <w:t>489 Employees · https://www.ardelyx.com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Ardelyx successfully launched two first-in-class medicines from a single novel molecule — IBSRELA (approved 2022) and XPHOZAH (approved October 2023 after FDA appeal). IBSRELA Q2 2026 revenue surged to $86.2M (+33% YoY) with record prescriptions and market share, though FY2026 IBSRELA guidance was reduced to $350-370M due to payer restrictions on new patient starts [1][2]. The company persevered through an FDA Complete Response Letter and multi-year appeals process. AI Deployment (0/2): No AI-powered products or quantified AI-driven savings; Ardelyx is a traditional small-molecule pharmaceutical company with no disclosed AI strategy [3]. Market Share (2/2): IBSRELA is the fastest-growing IBS-C treatment and a first-in-class NHE3 inhibitor with no direct mechanistic competitors; XPHOZAH is the first and only FDA-approved non-phosphate binder for hyperphosphatemia, creating an entirely new treatment category [1]. Product Pipeline (1/2): Phase 3 ACCEL trial for CIC (chronic idiopathic constipation) enrollment ongoing with topline readout expected H2 2027; next-gen NHE3 inhibitor RDX10531 adds pipeline depth with patent protection through 2042 [3]. R&amp;D Intensity (1/1): R&amp;D spending remains significant relative to revenue for a commercial-stage biotech, consistent with above-industry-average investment for companies maintaining active pipeline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Ardelyx's mission to 'discover, develop and commercialize innovative, first-in-class medicines that meet significant unmet medical needs' is clear and patient-centered, but generic for the biotech industry [3]. Community Impact (1/2): The company has a Chief Patient Officer role and chose not to file for TDAPA (transitional payment) to preserve patient access to XPHOZAH — a decision that sacrificed potential revenue for patient continuity, demonstrating authentic patient focus. The 2024 ESG report details patient access programs and SASB-aligned sustainability reporting [4]. Employee Retention (1/2): CEO Mike Raab's 17-year tenure since 2009 signals exceptional leadership stability, and Glassdoor rating of 3.8/5 with 86% CEO approval is above average for biotech [3][5]. Recent executive appointments (CMO, CTOO, CHRO) reflect organizational maturation for commercial scaling. Insider Buying (0/2): Net insider selling over recent months; overall insider activity shows more sales than purchases, with leadership reducing positions rather than investing conviction capital.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Q2 2026 delivered record product revenue of $118.1M (+31% YoY), but FY2026 IBSRELA guidance was cut to $350-370M due to payer restrictions, reducing total product revenue outlook to approximately $460-490M [1][2]. D/E of approximately 190% is elevated, scoring 0.48 against the 70% target, reflecting ~$234M in debt against shareholders' equity. ROE of -38.6% and profit margin of -12.4% both hit the floor (score 0), though net losses narrowed to $16.7M in Q2 2026 with sustainable profitability targeted for 2027. Revenue growth of ~31% YoY scores at maximum with 1x weight, and estimated 5yr revenue CAGR scores at maximum with 2x weight (company was pre-revenue 5 years ago). Forward PE is extremely elevated (~175-200x, score 0) reflecting near-breakeven earnings. Estimated PEG ratio of ~0.60 is excellent (score 1.0 with 2x weight). Daily dollar volume of ~$16M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Ardelyx demonstrates meaningful infinite game characteristics through CEO Raab's 17-year tenure, the persistence through the XPHOZAH FDA rejection and multi-year appeals process, and patient-centered organizational culture evidenced by the TDAPA and Chief Patient Officer decisions. However, the Q2 2026 IBSRELA guidance cut due to payer restrictions, insider selling, and continued operating losses test whether the company can sustain its cause through escalating commercial headwinds.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Ardelyx's commitment to first-in-class medicines for underserved patients is genuine and demonstrated by action — the company fought through an FDA rejection, laid off 65% of staff, and persevered to win XPHOZAH approval [3]. The Chief Patient Officer role and decision to forgo TDAPA filing (sacrificing potential revenue to preserve patient access) reflect authentic patient focus. However, the mission statement itself is generic for the biotech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Raab's 17-year tenure provides exceptional leadership continuity, and Glassdoor rating of 3.8/5 with 86% CEO approval suggests above-average employee sentiment [5]. Promotions and appointments of CBO, CMO, CTOO, and CHRO reflect organizational maturation and internal development pathways. However, 56% of Glassdoor reviewers recommending the company to a friend is only moderate, and the aggressive commercial scaling creates some organizational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Ardelyx positions itself as a disruptor creating new treatment categories with first-in-class status [3]. No evidence of management acknowledging competitors' strengths — Linzess (AbbVie/Ironwood) in IBS-C or phosphate binders in CKD — as worthy rivals driving self-improvement. Competitive language focuses on disrupting existing treatment paradigms.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FDA rejected XPHOZAH, Ardelyx pivoted dramatically — downsizing 65%, fighting through multiple FDA appeal levels, and ultimately winning approval [3]. The expansion from GI (IBSRELA) to nephrology (XPHOZAH) to CIC (Phase 3 ACCEL trial) represents strategic broadening of the tenapanor platform, and the decision to pursue legislative remedy (Kidney PATIENT Act) shows willingness to take unconventional paths.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Ardelyx's decision to fight the FDA's Complete Response Letter through Formal Dispute Resolution after laying off 65% of staff is textbook courageous leadership — CEO Raab risked the company's survival on principle [3]. The choice not to file for TDAPA to preserve patient access, even after the D.C. Circuit Court loss on Medicare reimbursement, sacrificed potential revenue on principle. The IBSRELA guidance cut to $350-370M in Q2 2026 due to payer restrictions demonstrates management willingness to be transparent about commercial challenges rather than overpromising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Ardelyx at $3.09 with a $798M market cap is executing a compelling commercial ramp with Q2 2026 record revenue of $118.1M (+31% YoY), driven by IBSRELA's first-in-class IBS-C dominance ($86.2M, +33%) and XPHOZAH's strong adoption as the only non-phosphate binder for hyperphosphatemia ($31.9M, +27%) [1]. Despite the IBSRELA guidance reduction to $350-370M from payer restrictions, total FY2026 product revenue of ~$460-490M still represents transformative growth from pre-revenue status just 4 years ago. Patent protection through 2042 and the Phase 3 ACCEL trial for CIC extend the tenapanor franchise runway. The estimated PEG ratio of ~0.60 suggests the market undervalues the earnings growth trajectory, and the Inspire Impact Score of 29 (ALIGNED) with zero negative attributions makes the stock accessible for faith-based investors [4].</w:t>
      </w:r>
    </w:p>
    <w:p>
      <w:pPr>
        <w:spacing w:after="120"/>
      </w:pPr>
      <w:r>
        <w:rPr>
          <w:rFonts w:ascii="Calibri" w:hAnsi="Calibri"/>
          <w:b w:val="0"/>
          <w:color w:val="3A4A28"/>
          <w:sz w:val="20"/>
        </w:rPr>
        <w:t>The bear case centers on the guidance cut, profitability timeline, and balance sheet pressure. The IBSRELA guidance reduction to $350-370M (from higher levels) due to payer restrictions on new patient starts signals commercial headwinds, and the stock has declined ~44% from its 200-day moving average [1][2]. Forward PE of ~190x reflects near-breakeven earnings with no guarantee the profitability inflection arrives on schedule in 2027. D/E of ~190% with ~$234M in debt creates balance sheet leverage, and net losses of $16.7M in Q2 2026 continue to consume cash. Net insider selling over recent months creates governance concerns during the critical commercialization phase. IBSRELA concentration risk remains meaningful — ~73% of revenue depends on a single product in the competitive IBS-C market, and the guidance cut demonstrates vulnerability to payer pushback. The 56% Glassdoor recommend-to-friend rate and only 56% positive business outlook on Glassdoor suggest mixed organizational sentiment despite the CEO's strong ratings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Sustainable profitability inflection expected in 2027 as revenue scale ($460-490M FY2026 product revenue) overtakes operating expenses, potentially triggering institutional buying and multiple expansion from the depressed $798M market cap [1]</w:t>
      </w:r>
    </w:p>
    <w:p>
      <w:pPr>
        <w:spacing w:before="40" w:after="40"/>
        <w:ind w:left="283"/>
      </w:pPr>
      <w:r>
        <w:rPr>
          <w:rFonts w:ascii="Calibri" w:hAnsi="Calibri"/>
          <w:b/>
          <w:color w:val="4A6B25"/>
          <w:sz w:val="20"/>
        </w:rPr>
        <w:t xml:space="preserve">2. </w:t>
      </w:r>
      <w:r>
        <w:rPr>
          <w:rFonts w:ascii="Calibri" w:hAnsi="Calibri"/>
          <w:b w:val="0"/>
          <w:color w:val="3A4A28"/>
          <w:sz w:val="20"/>
        </w:rPr>
        <w:t>Phase 3 ACCEL trial for CIC (chronic idiopathic constipation) enrollment ongoing with topline readout H2 2027, potentially opening a large adjacent market for the tenapanor platform and reducing IBSRELA concentration risk [3]</w:t>
      </w:r>
    </w:p>
    <w:p>
      <w:pPr>
        <w:spacing w:before="40" w:after="40"/>
        <w:ind w:left="283"/>
      </w:pPr>
      <w:r>
        <w:rPr>
          <w:rFonts w:ascii="Calibri" w:hAnsi="Calibri"/>
          <w:b/>
          <w:color w:val="4A6B25"/>
          <w:sz w:val="20"/>
        </w:rPr>
        <w:t xml:space="preserve">3. </w:t>
      </w:r>
      <w:r>
        <w:rPr>
          <w:rFonts w:ascii="Calibri" w:hAnsi="Calibri"/>
          <w:b w:val="0"/>
          <w:color w:val="3A4A28"/>
          <w:sz w:val="20"/>
        </w:rPr>
        <w:t>XPHOZAH revenue growth of 27% YoY to $31.9M in Q2 2026 with guidance maintained at $110-120M, demonstrating durability of the only FDA-approved non-phosphate binder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IBSRELA guidance cut to $350-370M from payer restrictions on new patient starts signals commercial headwinds — single-product concentration with ~73% of revenue depending on IBSRELA makes the company vulnerable to further payer pushback [1][2]</w:t>
      </w:r>
    </w:p>
    <w:p>
      <w:pPr>
        <w:spacing w:before="40" w:after="40"/>
        <w:ind w:left="283"/>
      </w:pPr>
      <w:r>
        <w:rPr>
          <w:rFonts w:ascii="Calibri" w:hAnsi="Calibri"/>
          <w:b/>
          <w:color w:val="4A6B25"/>
          <w:sz w:val="20"/>
        </w:rPr>
        <w:t xml:space="preserve">2. </w:t>
      </w:r>
      <w:r>
        <w:rPr>
          <w:rFonts w:ascii="Calibri" w:hAnsi="Calibri"/>
          <w:b w:val="0"/>
          <w:color w:val="3A4A28"/>
          <w:sz w:val="20"/>
        </w:rPr>
        <w:t>Balance sheet pressure with D/E of ~190%, ~$234M debt, and continued operating losses — cash may require additional financing before sustainable profitability if losses persist beyond 2027</w:t>
      </w:r>
    </w:p>
    <w:p>
      <w:pPr>
        <w:spacing w:before="40" w:after="40"/>
        <w:ind w:left="283"/>
      </w:pPr>
      <w:r>
        <w:rPr>
          <w:rFonts w:ascii="Calibri" w:hAnsi="Calibri"/>
          <w:b/>
          <w:color w:val="4A6B25"/>
          <w:sz w:val="20"/>
        </w:rPr>
        <w:t xml:space="preserve">3. </w:t>
      </w:r>
      <w:r>
        <w:rPr>
          <w:rFonts w:ascii="Calibri" w:hAnsi="Calibri"/>
          <w:b w:val="0"/>
          <w:color w:val="3A4A28"/>
          <w:sz w:val="20"/>
        </w:rPr>
        <w:t>Stock declining ~44% from 200-day moving average with net insider selling signals market and leadership skepticism about near-term trajectory; forward PE of ~190x leaves minimal margin of safety for any earnings disappointment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Ardelyx develops and commercializes FDA-approved pharmaceutical products — a deeply regulated business requiring clinical trials, GMP manufacturing, and complex physician-patient prescribing relationships that AI cannot substitute [3]. The company's moat is its proprietary tenapanor molecule with patent protection through 2042, regulatory exclusivity, and established physician prescribing relationships for IBSRELA and XPHOZAH. AI poses zero substitution risk to approved pharmaceutical products — the physical drug manufacturing, distribution, and prescribing ecosystem is structurally immune to AI displacement. AI Opportunity (0/1): Ardelyx does not generate AI revenue and has not disclosed use of AI in its drug discovery pipeline or commercial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Ardelyx Q2 2026 Financial Results — Record Revenue $118.1M (+31% YoY), IBSRELA $86.2M (+33%), XPHOZAH $31.9M (+27%), Net Loss $16.7M, IBSRELA Guidance Cut to $350-370M, SEC 8-K/Quartr, August 2026</w:t>
      </w:r>
    </w:p>
    <w:p>
      <w:pPr>
        <w:spacing w:before="20" w:after="20"/>
        <w:ind w:left="170"/>
      </w:pPr>
      <w:r>
        <w:rPr>
          <w:rFonts w:ascii="Calibri" w:hAnsi="Calibri"/>
          <w:b/>
          <w:color w:val="4A6B25"/>
          <w:sz w:val="15"/>
        </w:rPr>
        <w:t xml:space="preserve">2. </w:t>
      </w:r>
      <w:r>
        <w:rPr>
          <w:rFonts w:ascii="Calibri" w:hAnsi="Calibri"/>
          <w:b w:val="0"/>
          <w:color w:val="3A4A28"/>
          <w:sz w:val="17"/>
        </w:rPr>
        <w:t>Ardelyx Q1 2026 Earnings — Revenue $94.5M (+27.5% YoY), IBSRELA $70.1M (+58%), XPHOZAH $23.3M, Guidance Reaffirmed Initially, SEC 8-K/OpenCapital, April-May 2026</w:t>
      </w:r>
    </w:p>
    <w:p>
      <w:pPr>
        <w:spacing w:before="20" w:after="20"/>
        <w:ind w:left="170"/>
      </w:pPr>
      <w:r>
        <w:rPr>
          <w:rFonts w:ascii="Calibri" w:hAnsi="Calibri"/>
          <w:b/>
          <w:color w:val="4A6B25"/>
          <w:sz w:val="15"/>
        </w:rPr>
        <w:t xml:space="preserve">3. </w:t>
      </w:r>
      <w:r>
        <w:rPr>
          <w:rFonts w:ascii="Calibri" w:hAnsi="Calibri"/>
          <w:b w:val="0"/>
          <w:color w:val="3A4A28"/>
          <w:sz w:val="17"/>
        </w:rPr>
        <w:t>Ardelyx Corporate Profile, Pipeline, and Regulatory — Mission, XPHOZAH FDA Appeal History, TDAPA Decision, Phase 3 ACCEL CIC Trial, Patent Protection to 2042, Chief Patient Officer, ardelyx.com,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Ardelyx ESG Report 2024 — Patient access programs, SASB-aligned sustainability reporting, environmental/social/governance disclosures, ardelyx.com, February 2025</w:t>
      </w:r>
    </w:p>
    <w:p>
      <w:pPr>
        <w:spacing w:before="20" w:after="20"/>
        <w:ind w:left="170"/>
      </w:pPr>
      <w:r>
        <w:rPr>
          <w:rFonts w:ascii="Calibri" w:hAnsi="Calibri"/>
          <w:b/>
          <w:color w:val="4A6B25"/>
          <w:sz w:val="15"/>
        </w:rPr>
        <w:t xml:space="preserve">5. </w:t>
      </w:r>
      <w:r>
        <w:rPr>
          <w:rFonts w:ascii="Calibri" w:hAnsi="Calibri"/>
          <w:b w:val="0"/>
          <w:color w:val="3A4A28"/>
          <w:sz w:val="17"/>
        </w:rPr>
        <w:t>Glassdoor — Ardelyx Rating 3.8/5 (31 reviews), 86% CEO Approval, 56% Recommend to Friend, 56% Positive Business Outlook,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