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ARES</w:t>
      </w:r>
      <w:r>
        <w:rPr>
          <w:rFonts w:ascii="Calibri" w:hAnsi="Calibri"/>
          <w:b/>
          <w:color w:val="1A2010"/>
          <w:sz w:val="40"/>
        </w:rPr>
        <w:t xml:space="preserve">  Ares Management Corporation</w:t>
      </w:r>
    </w:p>
    <w:p>
      <w:pPr>
        <w:spacing w:after="120"/>
      </w:pPr>
      <w:r>
        <w:rPr>
          <w:rFonts w:ascii="Calibri" w:hAnsi="Calibri"/>
          <w:b/>
          <w:color w:val="6E8450"/>
          <w:sz w:val="18"/>
        </w:rPr>
        <w:t>DIVIDEND SLEEVE · 2026-08-31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Ares Management Corporation is a global alternative investment manager operating across credit, real estate, private equity, infrastructure, and secondaries asset classes. With $671.3 billion in assets under management and approximately $410 billion in fee-paying AUM as of Q2 2026, Ares is one of the largest alternative asset managers worldwide and a leading player in private credit. Q2 2026 delivered $1.43B revenue (+17% YoY), record quarterly fundraising of $36.4B, fee-related earnings of $491M (+20% YoY), and realized income of $522M (+31% YoY). Founded in 1997 by Michael Arougheti, David Kaplan, John Kiss, and others, headquartered in Los Angeles.</w:t>
      </w:r>
    </w:p>
    <w:p>
      <w:r>
        <w:rPr>
          <w:rFonts w:ascii="Calibri" w:hAnsi="Calibri"/>
          <w:b/>
          <w:color w:val="6E8450"/>
          <w:sz w:val="18"/>
        </w:rPr>
        <w:t>3,200 Employees · https://www.aresmgmt.com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Over the last five years, Ares has more than tripled AUM from approximately $197B to $671.3B, expanding into infrastructure investing, insurance solutions (Aspida retirement services), and secondaries — each representing a meaningful new revenue stream [1][2]. Q2 2026 set a record with $36.4B in gross capital raised, its highest quarterly total ever, demonstrating sustained platform momentum. In February 2024, Ares acquired BootstrapLabs, an AI-focused venture platform, further diversifying the product set [3]. However, these are evolutionary extensions into adjacent asset classes rather than a transformative business model reinvention. AI Deployment (1/2): Ares acquired BootstrapLabs (AI-focused VC) in 2024, hired a Managing Director-level Head of Data and AI, and is collaborating across four focus areas — investment portfolio, investment process, investment experience, and business operations — on human augmentation, automation, and product innovation [3]. CEO Arougheti has published AI thought leadership ('AI Era Spurs Recalibration—Not Retreat—in Software'). However, no AI-powered products are shipping to clients and no quantified AI-driven cost savings have been reported. Market Share (2/2): Ares is a top-five global alternative asset manager by AUM ($671.3B) and one of the largest private credit managers worldwide, with fee-paying AUM of ~$410B (+17% YoY) and management fees exceeding $1B quarterly (+14% YoY), demonstrating both scale leadership and share gains [1]. Product Pipeline (1/2): Ares targets 16-20% compound FRE growth, 20-25% realized income growth, and 20% dividend growth, with continued fund launches across credit, infrastructure, insurance, and wealth management channels [1]. However, specific product launch dates and revenue targets are not disclosed in the manner of technology companies. R&amp;D Intensity (0/1): Alternative asset managers do not report traditional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Ares articulates its mission as 'to invest to help businesses flourish and create enduring value for all of our stakeholders,' with a vision 'to be a catalyst for shared prosperity and a better future' [3]. The CREST values — Collaborative, Responsible, Entrepreneurial, Self-Aware, and Trustworthy — reflect genuine intentionality and differentiate from generic asset manager language. CEO Arougheti emphasizes 'conviction, discipline, and long-term thinking' in a collaborative partnership culture. However, the mission has not been validated through a leadership transition (Arougheti has led since founding in 1997). Community Impact (1/2): Ares operates the Ares Charitable Foundation, is a PRI signatory, and publishes sustainability reports detailing community investment aligned with inclusive economic growth [4]. The firm is Great Place to Work certified. However, specific dollar amounts for charitable giving and measurable community impact data were not identified. Employee Retention (1/2): Great Place to Work certification and the partnership model with next-generation talent development suggest an above-average workplace. Employee reviews cite 'approachable and transparent leadership' and 'mentorship opportunities' [3]. However, no specific tenure or turnover data is publicly available. Insider Buying (0/2): CEO Arougheti made 18 sales totaling $90.7M and zero purchases over a recent six-month period, all under 10b5-1 plans. Across all insiders, cumulative selling significantly exceeds buying. While director Ashish Bhutani purchased $1.27M worth of shares and executives maintain substantial ownership, the net direction is clearly selling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$1.43B revenue (+17% YoY) beating estimates by 7.5%, with FRE of $491M (+20% YoY), realized income of $522M (+31% YoY), and record fundraising of $36.4B — the highest quarterly total in company history [1]. The stock appreciated 33% since Q1 to $136.85, with forward P/E of 16.2 and PEG of 0.86 reflecting reasonable valuation for the growth trajectory [6]. Revenue growth 5yr CAGR is approximately 25%, driven by AUM tripling from $197B to $671.3B. D/E of 163% is above the 70% target but well below the 300% floor (scores 0.60). ROE of 13.5% is slightly below the 15% target (scores 0.90). GAAP profit margin of 9.4% is distorted by alternative asset manager accounting treatment of carried interest and equity compensation. GAAP payout ratio of ~227% scores at the floor, though the cash/distributable earnings payout ratio of ~56% more accurately reflects dividend sustainability. Dividend yield of 3.95% (at current $136.85 price) with 13 consecutive years paid, 8 years of growth, and 23% 5yr dividend growth CAGR provide strong weighted contributions. Liquidity easily clears at ~$342M daily ($136.85 x 2.5M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Ares Management under Michael Arougheti exhibits a blend of infinite and finite game characteristics. The firm has a genuine purpose beyond returns — helping businesses flourish and creating shared prosperity — and has demonstrated willingness to invest through market cycles, expanding aggressively during the 2020 downturn and 2022 rate shock. Q2 2026 record fundraising of $36.4B validates the platform's long-term positioning. However, the company's rapid AUM accumulation ($197B to $671B in five years) and aggressive fundraising cadence also reflect scale-driven economics, and the firm has not yet faced a leadership transition or existential flexibility test.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Ares articulates a genuine purpose — 'to invest to help businesses flourish and create enduring value for all stakeholders' — that connects capital allocation to a larger vision of shared prosperity [3]. The CREST values framework is distinctive and well-integrated into the firm's culture. Strategic decisions, including expansion into infrastructure and insurance solutions, connect to the broader mission of providing flexible capital to underserved markets. However, the cause has not been validated through a leadership transition (Arougheti has led since 1997 founding) or through multi-decade testing across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Ares operates a partnership model where senior leaders and next-generation talent collaborate, and the firm is Great Place to Work certified [3]. Employee reviews describe 'approachable and transparent leadership' and 'mentorship opportunities,' and the CREST values explicitly emphasize being Collaborative, Self-Aware, and Trustworthy. However, no specific voluntary turnover or average tenure data is publicly available, and rapid growth (tripling headcount alongside AUM) creates inherent cultural dilution risk.</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Arougheti consistently engages with the competitive landscape constructively, acknowledging Blackstone, Apollo, and KKR's strengths while articulating how competition drives better outcomes for borrowers and investors [3]. During the 'private credit panic' of early 2026, Arougheti pushed back on concerns not by attacking competitors but by explaining how increased competition creates discipline and differentiation. His published thought leadership ('AI Era Spurs Recalibration') frames technology disruption as an opportunity for improved investment analysis rather than a zero-sum threat.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Ares has meaningfully evolved its business model over 29 years, expanding from its origins in private credit into a diversified platform spanning credit, real estate, private equity ($42B), infrastructure, secondaries, and insurance solutions (Aspida) [1]. AUM growth from $197B to $671B represents massive platform expansion. However, these moves are evolutionary extensions into adjacent asset classes rather than transformative reinventions. The core business model of managing third-party capital for fees has remained constant throughout.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Arougheti demonstrated courage by investing aggressively during the COVID-19 market dislocation in 2020 and the 2022 rate shock when other lenders retreated. The acquisition of BootstrapLabs (AI venture platform) and Aspida (insurance solutions) represent multi-year capability investments [3]. During the private credit panic narrative of early 2026, Arougheti publicly defended the asset class with data and conviction rather than capitulating. However, these decisions were made from a position of strength with strong fee-based recurring revenue, reducing the relative risk of each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Ares Management delivered an exceptional Q2 2026 with $1.43B revenue (+17% YoY, beating estimates by 7.5%), record quarterly fundraising of $36.4B, FRE of $491M (+20% YoY), and realized income of $522M (+31% YoY), lifting AUM to $671.3B [1]. The forward P/E of 16.2 with a PEG of 0.86 suggests the market is pricing in robust earnings growth at a reasonable valuation. Management fees exceeded $1B quarterly (+14% YoY), providing durable recurring revenue, while the 3.95% dividend yield with 23% five-year dividend growth CAGR offers compelling income with growth [6]. The secular shift from public to private markets — with alternatives still representing only 15-20% of institutional allocations — provides a multi-decade tailwind. Ares's diversified platform across credit ($335B+), real estate, private equity, infrastructure, insurance (Aspida), and AI venture (BootstrapLabs) reduces single-strategy concentration risk and positions the firm to capture share across multiple capital channels.</w:t>
      </w:r>
    </w:p>
    <w:p>
      <w:pPr>
        <w:spacing w:after="120"/>
      </w:pPr>
      <w:r>
        <w:rPr>
          <w:rFonts w:ascii="Calibri" w:hAnsi="Calibri"/>
          <w:b w:val="0"/>
          <w:color w:val="3A4A28"/>
          <w:sz w:val="20"/>
        </w:rPr>
        <w:t>The primary risk is the gap between GAAP earnings and distributable earnings, reflected in the 62.8x trailing P/E and ~227% GAAP payout ratio — metrics that appear alarming until adjusted for non-cash items endemic to alternative asset manager accounting [6]. If distributable earnings growth decelerates from the current 20-31% trajectory, the dividend could come under scrutiny despite the ~56% cash payout ratio. The rapid AUM growth from $197B to $671B in five years has been fueled by private credit's explosive popularity, but increasing competition from banks re-entering direct lending and rival managers (Blackstone, Apollo, Blue Owl) scaling credit platforms could compress management fee rates and returns. The D/E ratio of 163% is elevated relative to the 70% target, and ROE of 13.5% falls short of the 15% benchmark. Significant insider selling by CEO Arougheti ($90.7M in sales over six months, pre-planned under 10b5-1 plans) warrants monitoring despite substantial remaining ownership [5]. Regulatory scrutiny of private credit markets, potential credit cycle deterioration across the $335B+ credit portfolio, and founder-CEO key-man risk without a publicly identified successor represent additional concerns.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fundraising momentum — $36.4B raised in Q2 2026 alone, the highest quarterly total ever, with management targeting 16-20% FRE growth and 20-25% realized income growth compounding, positioning Ares to reach $800B+ AUM by 2028 [1]</w:t>
      </w:r>
    </w:p>
    <w:p>
      <w:pPr>
        <w:spacing w:before="40" w:after="40"/>
        <w:ind w:left="283"/>
      </w:pPr>
      <w:r>
        <w:rPr>
          <w:rFonts w:ascii="Calibri" w:hAnsi="Calibri"/>
          <w:b/>
          <w:color w:val="4A6B25"/>
          <w:sz w:val="20"/>
        </w:rPr>
        <w:t xml:space="preserve">2. </w:t>
      </w:r>
      <w:r>
        <w:rPr>
          <w:rFonts w:ascii="Calibri" w:hAnsi="Calibri"/>
          <w:b w:val="0"/>
          <w:color w:val="3A4A28"/>
          <w:sz w:val="20"/>
        </w:rPr>
        <w:t>Continued secular shift from public to private markets driving institutional allocations above 20%, with Ares's diversified platform (credit, real estate, PE, infrastructure, insurance, AI venture) positioned to capture share across multiple capital channels</w:t>
      </w:r>
    </w:p>
    <w:p>
      <w:pPr>
        <w:spacing w:before="40" w:after="40"/>
        <w:ind w:left="283"/>
      </w:pPr>
      <w:r>
        <w:rPr>
          <w:rFonts w:ascii="Calibri" w:hAnsi="Calibri"/>
          <w:b/>
          <w:color w:val="4A6B25"/>
          <w:sz w:val="20"/>
        </w:rPr>
        <w:t xml:space="preserve">3. </w:t>
      </w:r>
      <w:r>
        <w:rPr>
          <w:rFonts w:ascii="Calibri" w:hAnsi="Calibri"/>
          <w:b w:val="0"/>
          <w:color w:val="3A4A28"/>
          <w:sz w:val="20"/>
        </w:rPr>
        <w:t>Insurance solutions expansion via Aspida and retail wealth management distribution could unlock new capital pools — insurance AUM alone could double as retirement services demand grows, adding fee-earning assets at minimal marginal cost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Private credit competition intensifying as banks re-enter direct lending and rival alternative managers (Blackstone, Apollo, Blue Owl) scale their credit platforms, with potential management fee rate compression from current 100-150bps levels across the $335B+ credit portfolio</w:t>
      </w:r>
    </w:p>
    <w:p>
      <w:pPr>
        <w:spacing w:before="40" w:after="40"/>
        <w:ind w:left="283"/>
      </w:pPr>
      <w:r>
        <w:rPr>
          <w:rFonts w:ascii="Calibri" w:hAnsi="Calibri"/>
          <w:b/>
          <w:color w:val="4A6B25"/>
          <w:sz w:val="20"/>
        </w:rPr>
        <w:t xml:space="preserve">2. </w:t>
      </w:r>
      <w:r>
        <w:rPr>
          <w:rFonts w:ascii="Calibri" w:hAnsi="Calibri"/>
          <w:b w:val="0"/>
          <w:color w:val="3A4A28"/>
          <w:sz w:val="20"/>
        </w:rPr>
        <w:t>Credit cycle deterioration could increase default rates across the credit portfolio, triggering mark-to-market losses, reduced incentive fees, and investor redemption pressure that interrupts the record fundraising flywheel [1]</w:t>
      </w:r>
    </w:p>
    <w:p>
      <w:pPr>
        <w:spacing w:before="40" w:after="40"/>
        <w:ind w:left="283"/>
      </w:pPr>
      <w:r>
        <w:rPr>
          <w:rFonts w:ascii="Calibri" w:hAnsi="Calibri"/>
          <w:b/>
          <w:color w:val="4A6B25"/>
          <w:sz w:val="20"/>
        </w:rPr>
        <w:t xml:space="preserve">3. </w:t>
      </w:r>
      <w:r>
        <w:rPr>
          <w:rFonts w:ascii="Calibri" w:hAnsi="Calibri"/>
          <w:b w:val="0"/>
          <w:color w:val="3A4A28"/>
          <w:sz w:val="20"/>
        </w:rPr>
        <w:t>Founder-CEO key-man risk — Michael Arougheti has led Ares since its 1997 founding with no publicly identified successor, and cumulative insider sales significantly exceeding purchases ($1.16B vs $19M) signal estate planning dynamics that could precede a transition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Ares's core business of alternative asset management is well-protected from AI disruption. The fundamental activities — institutional fundraising relationships built over decades, complex deal origination, bespoke credit underwriting requiring deep sector expertise, and portfolio management of illiquid assets — are relationship-intensive, judgment-dependent, and heavily regulated by the SEC [1]. Managing $671B in AUM requires institutional trust that AI cannot replicate. The private credit business involves bespoke deal structuring and borrower relationships that resist commoditization. However, AI tools could partially automate credit analysis, document review, and portfolio monitoring, and AI-powered fintech competitors could emerge in simpler direct lending categories [3]. AI Opportunity (0/1): While Ares acquired BootstrapLabs (an AI-focused venture platform) in 2024, hired a Head of Data and AI, and is deploying AI across four focus areas (investment portfolio, process, experience, operations), no quantifiable AI-related revenue from Ares's own AI products or services has been reported [3]. The BootstrapLabs acquisition generates management fees from investing in AI companies, but Ares itself does not sell AI products to external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Ares Management Q2 2026 Earnings — $1.43B revenue (+17% YoY, beat by 7.5%), record $36.4B fundraising, FRE $491M (+20%), realized income $522M (+31%), AUM $671.3B, fee-paying AUM ~$410B — Investing.com, Yahoo Finance, 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Ares Management Q1 2026 Results — AUM $644.3B, Q1 revenue $1.40B (+28%), FRE $464.4M (+26%), record $30B fundraising — BusinessWire, May 2026</w:t>
      </w:r>
    </w:p>
    <w:p>
      <w:pPr>
        <w:spacing w:before="20" w:after="20"/>
        <w:ind w:left="170"/>
      </w:pPr>
      <w:r>
        <w:rPr>
          <w:rFonts w:ascii="Calibri" w:hAnsi="Calibri"/>
          <w:b/>
          <w:color w:val="4A6B25"/>
          <w:sz w:val="15"/>
        </w:rPr>
        <w:t xml:space="preserve">3. </w:t>
      </w:r>
      <w:r>
        <w:rPr>
          <w:rFonts w:ascii="Calibri" w:hAnsi="Calibri"/>
          <w:b w:val="0"/>
          <w:color w:val="3A4A28"/>
          <w:sz w:val="17"/>
        </w:rPr>
        <w:t>Ares Management Innovation, Culture, AI Strategy — BootstrapLabs acquisition (Feb 2024), Head of Data and AI hiring, CREST values, CEO Arougheti's leadership philosophy, 'AI Era Spurs Recalibration' thought leadership — aresmgmt.com, Built In NYC, BBNTimes, 2024-2026</w:t>
      </w:r>
    </w:p>
    <w:p>
      <w:pPr>
        <w:spacing w:before="20" w:after="20"/>
        <w:ind w:left="170"/>
      </w:pPr>
      <w:r>
        <w:rPr>
          <w:rFonts w:ascii="Calibri" w:hAnsi="Calibri"/>
          <w:b/>
          <w:color w:val="4A6B25"/>
          <w:sz w:val="15"/>
        </w:rPr>
        <w:t xml:space="preserve">4. </w:t>
      </w:r>
      <w:r>
        <w:rPr>
          <w:rFonts w:ascii="Calibri" w:hAnsi="Calibri"/>
          <w:b w:val="0"/>
          <w:color w:val="3A4A28"/>
          <w:sz w:val="17"/>
        </w:rPr>
        <w:t>Ares Management ESG &amp; Sustainability — Ares Charitable Foundation, PRI signatory, Great Place to Work certified, community investment programs — aresmgmt.com, KnowESG, CSRHub, 2025-2026</w:t>
      </w:r>
    </w:p>
    <w:p>
      <w:pPr>
        <w:spacing w:before="20" w:after="20"/>
        <w:ind w:left="170"/>
      </w:pPr>
      <w:r>
        <w:rPr>
          <w:rFonts w:ascii="Calibri" w:hAnsi="Calibri"/>
          <w:b/>
          <w:color w:val="4A6B25"/>
          <w:sz w:val="15"/>
        </w:rPr>
        <w:t xml:space="preserve">5. </w:t>
      </w:r>
      <w:r>
        <w:rPr>
          <w:rFonts w:ascii="Calibri" w:hAnsi="Calibri"/>
          <w:b w:val="0"/>
          <w:color w:val="3A4A28"/>
          <w:sz w:val="17"/>
        </w:rPr>
        <w:t>Ares Management Insider Trading — CEO Arougheti 18 sales ($90.7M), Director Bhutani purchase ($1.27M), cumulative $1.16B in sales vs $19M in purchases — Investing.com, Yahoo Finance, InsiderMonkey, 2025-2026</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GuruFocus — ARES Key Statistics: Stock Price $136.85, Forward P/E 16.22, TTM P/E 62.78, PEG 0.86, ROE 13.52%, D/E 163%, Profit Margin 9.41%, Dividend $5.40 (3.95% yield),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