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ARI</w:t>
      </w:r>
      <w:r>
        <w:rPr>
          <w:rFonts w:ascii="Calibri" w:hAnsi="Calibri"/>
          <w:b/>
          <w:color w:val="1A2010"/>
          <w:sz w:val="40"/>
        </w:rPr>
        <w:t xml:space="preserve">  Apollo Commercial Real Estate Finance, Inc.</w:t>
      </w:r>
    </w:p>
    <w:p>
      <w:pPr>
        <w:spacing w:after="120"/>
      </w:pPr>
      <w:r>
        <w:rPr>
          <w:rFonts w:ascii="Calibri" w:hAnsi="Calibri"/>
          <w:b/>
          <w:color w:val="6E8450"/>
          <w:sz w:val="18"/>
        </w:rPr>
        <w:t>DIVIDEND SLEEVE · 2026-09-22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Apollo Commercial Real Estate Finance, Inc. was an externally managed commercial mortgage REIT that originated and managed commercial first mortgage loans and subordinate financings. In H1 2026, the company sold its entire ~$8.6B commercial real estate loan portfolio to Athene Holding Ltd. at approximately 99.7% of total loan commitments. The board has approved dissolution and liquidation, pending stockholder approval. Q2 2026 revenue declined 37% YoY to $44.4M as the portfolio runoff continues. Managed by an affiliate of Apollo Global Management. Market cap ~$827M.</w:t>
      </w:r>
    </w:p>
    <w:p>
      <w:r>
        <w:rPr>
          <w:rFonts w:ascii="Calibri" w:hAnsi="Calibri"/>
          <w:b/>
          <w:color w:val="6E8450"/>
          <w:sz w:val="18"/>
        </w:rPr>
        <w:t>https://www.apollocref.com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ARI operated the same commercial mortgage REIT model since its 2009 IPO with no transformative product launches or business model pivots; the company is now dissolving after selling its entire loan portfolio to Athene [1][2]. AI Deployment (0/2): No AI-powered products, services, or measurable AI-driven operational efficiencies were ever deployed by this externally managed lending vehicle. Market Share (0/2): ARI was a mid-sized participant in commercial mortgage REIT lending and has now exited the market entirely by selling its ~$8.6B loan portfolio [1]. Product Pipeline (0/2): The company has no product pipeline — the board approved dissolution and liquidation of all remaining assets, with Q2 2026 revenue of just $44.4M as the portfolio runs off [1][3]. R&amp;D Intensity (1/1): As an externally managed REIT, ARI benefited from Apollo Global Management's $1T+ asset management platform, including institutional credit analytics and AI-integrated investment research capabilities that exceeded typical mortgage REIT resources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ARI is a dissolving financial vehicle with no mission, vision, or purpose statement beyond generating distributable income for shareholders through leveraged CRE lending — a function that has now ceased [3]. The company website contains no articulated purpose or vision. Community Impact (0/2): No evidence of charitable programs or community investment specific to ARI. The company was a financial intermediary with no community-facing operations. Employee Retention (0/2): Externally managed REIT with no employees of its own; the organizational identity existed solely through Apollo Global Management's external management agreement [2]. Insider Buying (1/2): Stuart Rothstein and the board demonstrated capital allocation conviction by executing a $150M share repurchase program and negotiating the portfolio sale at 99.7% of commitments, plus a $3.75/share special dividend to return capital promptly, though these are corporate wind-down actions rather than forward-looking insider purchases [1][3].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though all figures reflect a business being liquidated and are becoming progressively less meaningful. Liquidity check: 4.38M avg daily volume x $6.43 = $28.2M, passes the $1M floor [4]. D/E of 29.6% is well within target, reflecting dramatically reduced leverage after the portfolio sale [4]. ROE of 8.5% scores 0.57, partially recovering from FY2024 losses. Forward P/E of 28.3x scores 0.79, reflecting uncertain remaining earnings as assets are liquidated. Profit margin of 21.1% (TTM) scores 1.0 but includes one-time portfolio sale gains — Q2 2026 revenue was just $44.4M vs $70.9M in Q2 2025 [1]. YoY revenue is distorted by one-time portfolio sale gains in the TTM period. Dividend infrastructure is impaired: payout ratio of 93.8% is near the 100% floor, consecutive years of growth is zero after multiple cuts since 2019, and 5-year dividend CAGR of -7.2% reflects persistent distribution erosion. The 16-year continuous dividend payment history (2x weight) remains the primary infrastructure strength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ARI is the definitional finite game player — a company that has reached the end of its game. The board voted to dissolve the company and liquidate all remaining assets after selling the entire loan portfolio to Athene. While the orderly wind-down and capital return to shareholders is pragmatic, it represents the ultimate finite outcome: the company existed to generate financial returns and, when that became untenable, it ceased to exist. There is no cause, no enduring purpose, and no organizational capability worth preserving beyond the liquidation value.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ARI never had a Just Cause. The company existed solely to deploy leveraged capital into commercial real estate debt and distribute income to shareholders [3]. The dissolution confirms there was no vision, no purpose, and no reason to exist beyond financial returns. CEO Rothstein's stated commitment to 'executing efficiently and returning capital to stockholders in a timely and orderly manner' is the language of a finite game player concluding the game.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ARI has no employees — it was externally managed by Apollo Global Management [2]. There is no organizational trust to assess, no team culture, and no psychological safety dynamic. The external management structure and pending dissolution eliminate any meaningful basis for evaluating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ARI's competitive dynamics were framed around deal origination volume versus Blackstone Mortgage Trust, Starwood Property Trust, and other CRE lending REITs — a market share contest with no self-improvement lens. The company ultimately exited the competition entirely by selling its portfolio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ARI demonstrated the opposite of existential flexibility. Rather than transforming its business model in response to the CRE downturn and concentrated credit losses, the company chose dissolution [1][3]. The portfolio sale to Athene was a capitulation, not a pivot — the company failed to adapt and chose to end rather than evolve. Sinek would view this as the ultimate failure of strategic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Stuart Rothstein showed pragmatic courage by acknowledging the company's CRE lending model was broken and choosing orderly dissolution over continued value destruction [1][3]. The decision to sell the entire ~$8.6B portfolio at 99.7% of commitments rather than marking down assets and clinging to a failing strategy required honesty about the company's prospects. The $3.75/share special dividend returned capital promptly rather than hoarding it. However, the dissolution follows FY2024's -$132M net loss and repeated dividend cuts — leadership waited until the situation was dire rather than acting proactively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ARI is now a liquidation play, not a going-concern investment. The stock trades at $6.43 versus an estimated post-special-dividend book value of ~$9.50/share, implying potential 40%+ upside if remaining assets are liquidated near book value [3][4]. The company executed the ~$8.6B loan portfolio sale to Athene at 99.7% of commitments, demonstrating disciplined execution. Q2 2026 net income improved 24% YoY to $25.8M despite a 37% revenue decline, reflecting reduced operating costs in wind-down mode [1]. The stock continues paying $0.25/quarter ($1.00/year, 15.6% yield) while winding down, and additional special dividends or return-of-capital distributions are likely as remaining properties are sold. Apollo Global Management's institutional platform supports efficient asset disposition.</w:t>
      </w:r>
    </w:p>
    <w:p>
      <w:pPr>
        <w:spacing w:after="120"/>
      </w:pPr>
      <w:r>
        <w:rPr>
          <w:rFonts w:ascii="Calibri" w:hAnsi="Calibri"/>
          <w:b w:val="0"/>
          <w:color w:val="3A4A28"/>
          <w:sz w:val="20"/>
        </w:rPr>
        <w:t>The bear case centers on liquidation risk and timeline uncertainty. Remaining assets include physical properties (Brooklyn multifamily, D.C./Atlanta/Chicago hotels, Massachusetts healthcare investment) that may not liquidate near book value in a stressed CRE market — the $82M write-off on 111 West 57th Street and FY2024's -$132M net loss demonstrate the portfolio's vulnerability to concentrated losses [5]. The dissolution timeline is uncertain pending stockholder approval and individual asset sales, meaning capital is trapped in an illiquid winding-down entity with diminishing earnings. Forward P/E of 28.3x reflects minimal expected forward earnings as the portfolio disappears [4]. The dividend has been cut five times since 2019 (from $1.84 to $1.00/year) and may be reduced further as remaining assets are sold. The external management fee structure continues extracting value during the wind-down period, creating agency costs that erode liquidation proceeds for common shareholders. At $827M market cap, the stock may already price in a favorable liquidation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Remaining property assets (Brooklyn Multifamily, D.C./Atlanta/Chicago Hotels, MA Healthcare) liquidated at or above book value, closing the discount to estimated post-dividend book value of ~$9.50/share [3]</w:t>
      </w:r>
    </w:p>
    <w:p>
      <w:pPr>
        <w:spacing w:before="40" w:after="40"/>
        <w:ind w:left="283"/>
      </w:pPr>
      <w:r>
        <w:rPr>
          <w:rFonts w:ascii="Calibri" w:hAnsi="Calibri"/>
          <w:b/>
          <w:color w:val="4A6B25"/>
          <w:sz w:val="20"/>
        </w:rPr>
        <w:t xml:space="preserve">2. </w:t>
      </w:r>
      <w:r>
        <w:rPr>
          <w:rFonts w:ascii="Calibri" w:hAnsi="Calibri"/>
          <w:b w:val="0"/>
          <w:color w:val="3A4A28"/>
          <w:sz w:val="20"/>
        </w:rPr>
        <w:t>Additional special dividends or return-of-capital distributions as remaining assets are sold, accelerating capital return to shareholders beyond the regular $1.00/year distribution [3]</w:t>
      </w:r>
    </w:p>
    <w:p>
      <w:pPr>
        <w:spacing w:before="40" w:after="40"/>
        <w:ind w:left="283"/>
      </w:pPr>
      <w:r>
        <w:rPr>
          <w:rFonts w:ascii="Calibri" w:hAnsi="Calibri"/>
          <w:b/>
          <w:color w:val="4A6B25"/>
          <w:sz w:val="20"/>
        </w:rPr>
        <w:t xml:space="preserve">3. </w:t>
      </w:r>
      <w:r>
        <w:rPr>
          <w:rFonts w:ascii="Calibri" w:hAnsi="Calibri"/>
          <w:b w:val="0"/>
          <w:color w:val="3A4A28"/>
          <w:sz w:val="20"/>
        </w:rPr>
        <w:t>Board retains discretion to pursue alternative strategies including merger or business combination, which could unlock value above pure liquidation proceeds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Remaining hotel and multifamily assets may liquidate below book value in a stressed CRE market — the 111 West 57th Street $82M write-off and FY2024 -$132M net loss demonstrate concentrated loss potential in physical property assets [5]</w:t>
      </w:r>
    </w:p>
    <w:p>
      <w:pPr>
        <w:spacing w:before="40" w:after="40"/>
        <w:ind w:left="283"/>
      </w:pPr>
      <w:r>
        <w:rPr>
          <w:rFonts w:ascii="Calibri" w:hAnsi="Calibri"/>
          <w:b/>
          <w:color w:val="4A6B25"/>
          <w:sz w:val="20"/>
        </w:rPr>
        <w:t xml:space="preserve">2. </w:t>
      </w:r>
      <w:r>
        <w:rPr>
          <w:rFonts w:ascii="Calibri" w:hAnsi="Calibri"/>
          <w:b w:val="0"/>
          <w:color w:val="3A4A28"/>
          <w:sz w:val="20"/>
        </w:rPr>
        <w:t>Dissolution timeline is uncertain pending stockholder vote and individual asset sales, trapping capital in an illiquid winding-down entity with diminishing earning power and ongoing management fees [3]</w:t>
      </w:r>
    </w:p>
    <w:p>
      <w:pPr>
        <w:spacing w:before="40" w:after="40"/>
        <w:ind w:left="283"/>
      </w:pPr>
      <w:r>
        <w:rPr>
          <w:rFonts w:ascii="Calibri" w:hAnsi="Calibri"/>
          <w:b/>
          <w:color w:val="4A6B25"/>
          <w:sz w:val="20"/>
        </w:rPr>
        <w:t xml:space="preserve">3. </w:t>
      </w:r>
      <w:r>
        <w:rPr>
          <w:rFonts w:ascii="Calibri" w:hAnsi="Calibri"/>
          <w:b w:val="0"/>
          <w:color w:val="3A4A28"/>
          <w:sz w:val="20"/>
        </w:rPr>
        <w:t>Regular dividend of $1.00/year may be reduced or eliminated as revenue-generating assets are sold and cash is distributed, removing the primary holding incentive for income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ARI's core business — originating and managing large commercial real estate first mortgage loans — was structurally protected from AI disruption. Commercial real estate lending requires physical property assessment, complex legal documentation, relationship-based deal origination, and regulatory compliance that AI cannot replace [2]. The loans were secured by physical assets, and underwriting involved property-specific judgment that resists algorithmic substitution. ARI's dissolution was driven by concentrated credit losses ($82M write-off on 111 West 57th Street, -$132M net loss in FY2024) and CRE market stress, not AI disruption — confirming that AI was never the relevant risk factor [5]. Apollo Global Management itself is investing heavily in AI data center infrastructure ($3.5B committed), viewing AI as an opportunity for the broader real estate sector [2]. AI Opportunity (0/1): No AI-generated revenue was ever reported. The company relied on Apollo's institutional capabilities but never monetized AI 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Apollo Commercial Real Estate Finance Q2 2026 Results — Revenue $44.4M (-37% YoY), net income $25.8M (+24% YoY), EPS $0.11, portfolio sale completion, August 2026</w:t>
      </w:r>
    </w:p>
    <w:p>
      <w:pPr>
        <w:spacing w:before="20" w:after="20"/>
        <w:ind w:left="170"/>
      </w:pPr>
      <w:r>
        <w:rPr>
          <w:rFonts w:ascii="Calibri" w:hAnsi="Calibri"/>
          <w:b/>
          <w:color w:val="4A6B25"/>
          <w:sz w:val="15"/>
        </w:rPr>
        <w:t xml:space="preserve">2. </w:t>
      </w:r>
      <w:r>
        <w:rPr>
          <w:rFonts w:ascii="Calibri" w:hAnsi="Calibri"/>
          <w:b w:val="0"/>
          <w:color w:val="3A4A28"/>
          <w:sz w:val="17"/>
        </w:rPr>
        <w:t>Apollo Global Management — Leadership, $1T+ AUM, AI Data Center Investment ($3.5B), CRE Strategy,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Apollo Commercial Real Estate Finance — $3.75/share special dividend, board dissolution and liquidation recommendation, portfolio sale at 99.7% of commitments,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ARI Key Statistics: Stock Price $6.43, Forward P/E 28.33, D/E 29.6%, ROE 8.5%, Dividend Yield 15.55%, Avg Volume 4.38M,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Apollo Commercial Real Estate Finance FY2024 — Net loss -$132M, $82M 111 West 57th Street write-off, multiple dividend cuts since 2019</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