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ARR</w:t>
      </w:r>
      <w:r>
        <w:rPr>
          <w:rFonts w:ascii="Calibri" w:hAnsi="Calibri"/>
          <w:b/>
          <w:color w:val="1A2010"/>
          <w:sz w:val="40"/>
        </w:rPr>
        <w:t xml:space="preserve">  ARMOUR Residential REIT, Inc.</w:t>
      </w:r>
    </w:p>
    <w:p>
      <w:pPr>
        <w:spacing w:after="120"/>
      </w:pPr>
      <w:r>
        <w:rPr>
          <w:rFonts w:ascii="Calibri" w:hAnsi="Calibri"/>
          <w:b/>
          <w:color w:val="6E8450"/>
          <w:sz w:val="18"/>
        </w:rPr>
        <w:t>DIVIDEND SLEEVE · 2026-08-31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ARMOUR Residential REIT, Inc. invests in residential mortgage-backed securities (MBS) in the United States, primarily securities issued or guaranteed by U.S. Government-sponsored entities (Fannie Mae, Freddie Mac) and Ginnie Mae, backed by fixed rate, hybrid adjustable rate, and adjustable-rate home loans. Externally managed by ARMOUR Capital Management LP. Q2 2026 delivered GAAP net income of $111.5M ($0.86/share), distributable earnings of $93.2M ($0.72/share), and net interest income of $76.8M. Book value per share was $17.53 at June 30, 2026. Market cap approximately $2.1B. Shares outstanding grew 67.7% over the past year through equity issuance.</w:t>
      </w:r>
    </w:p>
    <w:p>
      <w:r>
        <w:rPr>
          <w:rFonts w:ascii="Calibri" w:hAnsi="Calibri"/>
          <w:b/>
          <w:color w:val="6E8450"/>
          <w:sz w:val="18"/>
        </w:rPr>
        <w:t>https://www.armourreit.com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ARMOUR's business model has remained fundamentally unchanged since its 2008 founding — the company buys agency MBS funded by repurchase agreement leverage and collects the net interest spread [1]. Q2 2026 delivered strong GAAP net income of $111.5M ($0.86/share) and NII of $76.8M, but this reflects interest rate and spread dynamics, not product innovation or business model transformation. AI Deployment (0/2): No AI deployment, AI-powered products, or quantified AI-driven operational efficiencies are evident; ARMOUR is a financial vehicle that buys and holds government-backed MBS [1]. Market Share (1/2): ARMOUR is a recognized, meaningful player in the agency mREIT space with a portfolio exceeding $13B and $2.1B market cap, though it competes against significantly larger peers like Annaly Capital ($70B+) and AGNC Investment ($60B+) in a commodity-like market where all participants buy the same government-guaranteed securities [4]. Product Pipeline (0/2): No next-generation products or pipeline visibility; the business consists solely of buying, holding, and hedging government-guaranteed MBS. R&amp;D Intensity (0/1): Zero R&amp;D spending as a financial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ARMOUR's stated purpose — 'bringing private capital into the mortgage markets to support home ownership for a broad and diverse spectrum of Americans' — identifies a social benefit but is functionally identical to what every agency mREIT does by definition [5]. The homeownership angle does not distinguish ARMOUR from peers and does not appear to drive strategic decisions beyond standard MBS portfolio management. Community Impact (1/2): ARMOUR's ESG report discloses general corporate philanthropy including charitable contributions, employee volunteering, recycling, and use of Energy Star-certified products, but no distinctive or quantified community investment programs were identified [5]. Employee Retention (0/2): No employee retention data is available; ARMOUR is externally managed by ARMOUR Capital Management LP with minimal direct employees, making meaningful retention analysis impossible. Board average tenure of 16 years is positive, but core management team average tenure of just 1.7 years suggests recent leadership instability [3]. Insider Buying (0/2): Insiders have been net sellers — Robert Hain sold 87% of direct holdings at $18.06/share and Stewart Paperin sold 95% of direct holdings at $18.78/share, both above the current $16.38 price, signaling limited insider conviction [6]. Additionally, the 67.7% growth in shares outstanding through equity issuance dilutes existing shareholders significantly.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results showed meaningful improvement — GAAP net income of $111.5M ($0.86/share) versus a Q1 GAAP loss of $(0.49)/share, distributable earnings of $93.2M ($0.72/share), and book value recovery to $17.53 [1]. TTM PE of 4.10 and forward PE of 5.63 both score at maximum, reflecting deep value pricing for a high-yield REIT [4]. ROE improved to 20.33% (above 15% target), and profit margin of 87.82% is characteristic of the low-overhead mREIT model. Revenue growth has turned positive at approximately 10% YoY as spread conditions improved versus the prior year's decline. Consecutive years paid of 17 (since 2009) provides strong weighted contribution. However, extreme D/E of 757% — inherent to the leveraged mREIT model — scores zero on leverage. The 5-year dividend growth CAGR of -10.27% reflects serial cuts from over $1.00/month to the current $0.24/month, scoring zero with 2x weight. TTM GAAP payout ratio improved to approximately 72% (from 130% in Q1) as earnings recovered, but distributable earnings payout of ~97% ($2.88 dividend vs ~$2.96 annualized DE) remains tight [1]. Liquidity easily clears at ~$51.5M daily ($16.38 x 3.14M avg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ARMOUR Residential REIT operates as a finite player in Sinek's framework — a financial vehicle designed to generate spread income from leveraged MBS investments rather than advance a Just Cause that inspires sacrifice and long-term commitment. The company's purpose is functional (support homeownership, create shareholder value) rather than transformative. Leadership stability under CEO Scott Ulm provides adequate organizational trust, and navigating the 2022-2023 rate crisis showed some courage, but the business model has remained fundamentally unchanged since founding and massive shareholder dilution (67.7% share growth) prioritizes portfolio scale over per-share value creation.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ARMOUR's purpose — 'supporting home ownership for a broad and diverse spectrum of Americans' — identifies a social benefit but functions as a shallow cause that does not drive strategic decisions [5]. Investment choices are determined by interest rate outlook and mortgage spread opportunities, not by a vision of expanding homeownership; any agency mREIT could claim the identical purpose by virtue of what the business does. The multiple dividend cuts from over $1.00/month to $0.24/month and 67.7% share dilution suggest the business optimizes for portfolio scale and quarterly survival rather than long-term value creation in service of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ARMOUR demonstrates adequate organizational trust through CEO Scott Ulm's long tenure since November 2009, providing 17 years of continuity through the transition from co-CEO to sole CEO in March 2024 [3]. Board average tenure of 16 years reflects stability at the governance level. However, core management team average tenure of just 1.7 years suggests recent operational leadership turnover. As an externally managed REIT, the structure creates inherent agency conflicts — the manager benefits from portfolio growth (management fees) while shareholders bear investment risk, limiting the depth of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framing competition as motivation for self-improvement [1][5]. ARMOUR's competitive language focuses on its own portfolio performance, book value preservation, and dividend delivery rather than learning from larger peers like AGNC Investment or Annaly Capital Management.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ARMOUR has maintained the same business model since its 2008 founding — leveraged investment in agency MBS funded through repurchase agreements [5]. Portfolio positioning adjustments between fixed-rate and adjustable-rate MBS, varying leverage levels through rate cycles, and growing the portfolio through equity issuance are incremental management decisions within the existing model, not transformative strategic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ARMOUR's leadership demonstrated some courage by maintaining operations and continuing monthly dividend payments through the devastating 2022-2023 interest rate environment, when the company reported negative revenue (-$192M in 2022, -$24M in 2023) [1]. The decision to reduce but not eliminate the dividend, followed by aggressive portfolio rebuilding through massive equity issuance (67.7% share growth), shows willingness to endure short-term pain. Q2 2026 GAAP net income of $111.5M validates the recovery strategy. However, these decisions reflect prudent business management rather than sacrificial investment in service of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ARMOUR Residential REIT delivers a compelling 17.74% dividend yield paid monthly ($0.24/share), backed by a portfolio of agency MBS guaranteed by the U.S. government (Fannie Mae, Freddie Mac, Ginnie Mae), meaning zero credit risk on the underlying securities [1][4]. Q2 2026 marked a strong recovery with GAAP net income of $111.5M ($0.86/share), distributable earnings of $93.2M ($0.72/share), and book value per share of $17.53 — a meaningful improvement from Q1's GAAP loss [1]. ROE improved to 20.33%, profit margin stands at 87.82%, and the stock trades at a 6.6% discount to book value ($16.38 vs $17.53), offering potential valuation upside. The business is structurally immune to AI disruption (AI Resilience score 8), and the ALIGNED faith alignment score (Inspire Impact +43) adds a values dimension for faith-based investors [5]. Forward PE of 5.63 reflects deep value pricing for a high-yield income vehicle.</w:t>
      </w:r>
    </w:p>
    <w:p>
      <w:pPr>
        <w:spacing w:after="120"/>
      </w:pPr>
      <w:r>
        <w:rPr>
          <w:rFonts w:ascii="Calibri" w:hAnsi="Calibri"/>
          <w:b w:val="0"/>
          <w:color w:val="3A4A28"/>
          <w:sz w:val="20"/>
        </w:rPr>
        <w:t>The bear case centers on dividend sustainability, structural dilution, and interest rate sensitivity. Distributable earnings of $0.72/share in Q2 exactly matched the quarterly dividend of $0.72 ($0.24/month × 3), leaving zero margin of safety — any earnings deterioration would immediately threaten the distribution [1]. The 67.7% growth in shares outstanding over the past year through aggressive equity issuance massively dilutes per-share value, and the 5-year dividend CAGR of -10.27% reflects serial cuts from over $1.00/month to the current $0.24/month [4]. The 757% D/E ratio inherent to the leveraged mREIT model amplifies interest rate sensitivity — an unexpected rate spike or mortgage spread dislocation similar to 2022-2023 could again produce negative revenue and significant book value erosion, with a 5% decline in MBS portfolio value potentially wiping out ~40% of equity [4]. Insiders have been net sellers, with two officers disposing of 87-95% of their direct holdings at prices above the current level [6]. The externally managed structure creates inherent agency conflicts, with management fees based on portfolio size (incentivizing dilutive equity issuance) rather than per-share value creation.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Federal Reserve rate cuts could compress ARMOUR's short-term borrowing costs relative to longer-term MBS yields, expanding net interest margin beyond the current Q2 NII of $76.8M and restoring distributable earnings coverage above the $0.72/quarter dividend threshold [1]</w:t>
      </w:r>
    </w:p>
    <w:p>
      <w:pPr>
        <w:spacing w:before="40" w:after="40"/>
        <w:ind w:left="283"/>
      </w:pPr>
      <w:r>
        <w:rPr>
          <w:rFonts w:ascii="Calibri" w:hAnsi="Calibri"/>
          <w:b/>
          <w:color w:val="4A6B25"/>
          <w:sz w:val="20"/>
        </w:rPr>
        <w:t xml:space="preserve">2. </w:t>
      </w:r>
      <w:r>
        <w:rPr>
          <w:rFonts w:ascii="Calibri" w:hAnsi="Calibri"/>
          <w:b w:val="0"/>
          <w:color w:val="3A4A28"/>
          <w:sz w:val="20"/>
        </w:rPr>
        <w:t>Book value recovery and discount narrowing — stock trades at $16.38 versus $17.53 book value (6.6% discount), and continued spread normalization could push the stock toward or above book value as Q2 2026 demonstrated 3.5% book value recovery net of dividend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 if distributable earnings sustainably exceed the $0.24/month payment, which would signal confidence to income investors and potentially attract new capital given the ALIGNED faith alignment score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Distributable earnings of $0.72/share exactly equal the quarterly dividend with zero margin of safety — any NII compression, spread widening, or prepayment speed acceleration would make the current $0.24/month payment unsustainable, continuing a pattern of serial cuts that produced a -10.27% 5yr dividend CAGR [1]</w:t>
      </w:r>
    </w:p>
    <w:p>
      <w:pPr>
        <w:spacing w:before="40" w:after="40"/>
        <w:ind w:left="283"/>
      </w:pPr>
      <w:r>
        <w:rPr>
          <w:rFonts w:ascii="Calibri" w:hAnsi="Calibri"/>
          <w:b/>
          <w:color w:val="4A6B25"/>
          <w:sz w:val="20"/>
        </w:rPr>
        <w:t xml:space="preserve">2. </w:t>
      </w:r>
      <w:r>
        <w:rPr>
          <w:rFonts w:ascii="Calibri" w:hAnsi="Calibri"/>
          <w:b w:val="0"/>
          <w:color w:val="3A4A28"/>
          <w:sz w:val="20"/>
        </w:rPr>
        <w:t>Extreme leverage of 757% D/E makes ARMOUR acutely sensitive to interest rate movements and spread widening — an unexpected rate spike similar to 2022-2023 could again produce negative revenue and significant book value erosion, particularly given the 67.7% growth in shares outstanding that amplifies total portfolio exposure [4]</w:t>
      </w:r>
    </w:p>
    <w:p>
      <w:pPr>
        <w:spacing w:before="40" w:after="40"/>
        <w:ind w:left="283"/>
      </w:pPr>
      <w:r>
        <w:rPr>
          <w:rFonts w:ascii="Calibri" w:hAnsi="Calibri"/>
          <w:b/>
          <w:color w:val="4A6B25"/>
          <w:sz w:val="20"/>
        </w:rPr>
        <w:t xml:space="preserve">3. </w:t>
      </w:r>
      <w:r>
        <w:rPr>
          <w:rFonts w:ascii="Calibri" w:hAnsi="Calibri"/>
          <w:b w:val="0"/>
          <w:color w:val="3A4A28"/>
          <w:sz w:val="20"/>
        </w:rPr>
        <w:t>Structural dilution through continuous equity issuance (67.7% share growth in one year) destroys per-share value and signals management prioritization of asset base growth (which drives management fees) over per-share returns, an inherent conflict in the externally managed REIT structure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ARMOUR's core business — raising capital and investing in U.S. government-guaranteed mortgage-backed securities — is structurally immune to AI disruption [1][5]. The agency MBS market is deeply regulated financial infrastructure backed by Fannie Mae, Freddie Mac, and Ginnie Mae guarantees that AI cannot replicate or displace; the business requires capital deployment, leverage management, and regulatory compliance rather than information processing that AI could substitute. Mortgage origination may face AI disruption, but ARMOUR operates downstream as a portfolio investor, not an originator. No analyst commentary or SEC risk factor disclosures identify AI as a threat to mortgage REITs — primary risks remain interest rate movements, prepayment speeds, and mortgage spread dynamics [4]. AI Opportunity (0/1): ARMOUR generates zero revenue from AI products, services, or infrastructure and has no disclosed AI strategy or AI-powered tools in its portfolio management or risk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ARMOUR Residential REIT Q2 2026 Earnings — GAAP net income $111.5M ($0.86/share), distributable earnings $93.2M ($0.72/share), NII $76.8M, book value $17.53/share; Q1 2026: GAAP loss $(58.0)M, DE $90.5M ($0.76/share), NII $70.7M — SEC 8-K Filings, April and July 2026</w:t>
      </w:r>
    </w:p>
    <w:p>
      <w:pPr>
        <w:spacing w:before="20" w:after="20"/>
        <w:ind w:left="170"/>
      </w:pPr>
      <w:r>
        <w:rPr>
          <w:rFonts w:ascii="Calibri" w:hAnsi="Calibri"/>
          <w:b/>
          <w:color w:val="4A6B25"/>
          <w:sz w:val="15"/>
        </w:rPr>
        <w:t xml:space="preserve">2. </w:t>
      </w:r>
      <w:r>
        <w:rPr>
          <w:rFonts w:ascii="Calibri" w:hAnsi="Calibri"/>
          <w:b w:val="0"/>
          <w:color w:val="3A4A28"/>
          <w:sz w:val="17"/>
        </w:rPr>
        <w:t>ARMOUR Residential REIT Investor Presentations Q1 and Q2 2026 — Portfolio composition, leverage, book value recovery, hedging strategy — SEC 8-K, 2026</w:t>
      </w:r>
    </w:p>
    <w:p>
      <w:pPr>
        <w:spacing w:before="20" w:after="20"/>
        <w:ind w:left="170"/>
      </w:pPr>
      <w:r>
        <w:rPr>
          <w:rFonts w:ascii="Calibri" w:hAnsi="Calibri"/>
          <w:b/>
          <w:color w:val="4A6B25"/>
          <w:sz w:val="15"/>
        </w:rPr>
        <w:t xml:space="preserve">3. </w:t>
      </w:r>
      <w:r>
        <w:rPr>
          <w:rFonts w:ascii="Calibri" w:hAnsi="Calibri"/>
          <w:b w:val="0"/>
          <w:color w:val="3A4A28"/>
          <w:sz w:val="17"/>
        </w:rPr>
        <w:t>ARMOUR Residential REIT Leadership and Governance — CEO Scott Ulm (since 2009), board tenure 16 years, management tenure 1.7 years, 63% independent board, share dilution 67.7% — Simply Wall St, Yahoo Finance, Investing.com,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ARR Statistics: Stock Price $16.38, PE 4.10, Forward PE 5.63, D/E 757%, ROE 20.33%, Profit Margin 87.82%, Dividend $2.88 (17.74% yield), Avg Volume 3.14M,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ARMOUR Residential REIT ESG Report and Company Website — Homeownership mission, charitable contributions, environmental sustainability, governance practices — armourreit.com,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MarketBeat / InsiderMonkey — ARR Insider Trading: Robert Hain sold 87% of holdings at $18.06, Stewart Paperin sold 95% at $18.78, net insider selling —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