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ASBP</w:t>
      </w:r>
      <w:r>
        <w:rPr>
          <w:rFonts w:ascii="Calibri" w:hAnsi="Calibri"/>
          <w:b/>
          <w:color w:val="1A2010"/>
          <w:sz w:val="40"/>
        </w:rPr>
        <w:t xml:space="preserve">  Aspire-Lakewood Holdings, Inc.</w:t>
      </w:r>
    </w:p>
    <w:p>
      <w:pPr>
        <w:spacing w:after="120"/>
      </w:pPr>
      <w:r>
        <w:rPr>
          <w:rFonts w:ascii="Calibri" w:hAnsi="Calibri"/>
          <w:b/>
          <w:color w:val="6E8450"/>
          <w:sz w:val="18"/>
        </w:rPr>
        <w:t>GROWTH SLEEVE · 2026-10-01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NCM · United States</w:t>
      </w:r>
    </w:p>
    <w:p>
      <w:pPr>
        <w:spacing w:after="80"/>
      </w:pPr>
      <w:r>
        <w:rPr>
          <w:rFonts w:ascii="Calibri" w:hAnsi="Calibri"/>
          <w:b w:val="0"/>
          <w:color w:val="3A4A28"/>
          <w:sz w:val="20"/>
        </w:rPr>
        <w:t>Aspire-Lakewood Holdings, Inc. (formerly Aspire Biopharma) is a holding company that develops sublingual drug delivery technology and, through its subsidiary Dura Control Systems Corp (DCSC), designs and manufactures highly engineered automotive and industrial control systems. DCSC is a tier-one global automotive supplier with a 100+ year history, 310+ patents, and products supporting 150+ vehicle platforms. DCSC generated $209.5M revenue and $22.3M adjusted EBITDA in FY2025. The DCSC acquisition for $30M was completed in 2025, transforming the company from a pre-revenue biopharma into a diversified holding company.</w:t>
      </w:r>
    </w:p>
    <w:p>
      <w:r>
        <w:rPr>
          <w:rFonts w:ascii="Calibri" w:hAnsi="Calibri"/>
          <w:b/>
          <w:color w:val="6E8450"/>
          <w:sz w:val="18"/>
        </w:rPr>
        <w:t>https://aspirelakewoodholdings.com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Aspire-Lakewood executed a transformative acquisition, purchasing Dura Control Systems Corp — a $209.5M-revenue tier-one global automotive supplier with a 100+ year history — for just $30M, fundamentally repositioning the company from a pre-revenue biopharma into a diversified holding company with substantial revenue and EBITDA [1][2]. This acquisition opened a major new revenue stream and represents a dramatic business model transformation. The sublingual drug delivery technology also completed a positive PK clinical trial for aspirin. AI Deployment (0/2): No AI-powered products or AI-driven efficiency gains in either the automotive or biopharma business segments [2]. Market Share (1/2): DCSC holds a meaningful position as a tier-one automotive supplier with 310+ patents, 275+ distinct parts supporting 150+ vehicle platforms and 250+ vehicle models globally [2]. However, the auto parts market is highly fragmented and DCSC is a small player relative to Continental, Bosch, or Aptiv. Product Pipeline (0/2): DCSC's product portfolio supports vehicle electrification, safety, lightweighting, and sustainability, but no specific next-generation products with named launch dates are disclosed. The sublingual aspirin NDA remains in development. R&amp;D Intensity (0/1): No evidence that R&amp;D spending exceeds automotive supplier industry averages; specific R&amp;D expenditure data is not publicly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Aspire-Lakewood's holding company structure does not articulate a unifying mission or purpose beyond holding disparate businesses (sublingual drug delivery and automotive control systems) [2]. CEO Kraig Higginson and Chairman Gregory Corona have not publicly articulated a vision of a future state beyond growing the company's portfolio. The stated purpose of the $10M buyback — that the 'share price does not reflect the Company's financial strength or long-term growth opportunity' — is financial, not mission-driven. Community Impact (0/2): No evidence of charitable programs, community investment, or philanthropic initiatives. Employee Retention (0/2): No employee count, turnover, or retention data is publicly available. Material weaknesses in internal controls and an auditor change (from Turner Stone to CBIZ CPAs) raise governance concerns that suggest organizational immaturity [3]. Insider Buying (0/2): The $10M share buyback program authorized in September 2026 signals management conviction, but this is corporate repurchase, not personal insider buying. No specific insider purchase transactions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39,374 shares at $8.35 yields daily dollar volume of $328,773, well below the $1,000,000 threshold required for IOWN investability [4]. Infrastructure score forced to 0 regardless of other metrics. The holding company's public financials do not yet fully consolidate DCSC performance — yfinance shows only $97,659 in TTM parent-level revenue against a $24.5M net loss in FY2025 [4]. However, DCSC generated $209.5M in FY2025 revenue with $22.3M adjusted EBITDA, and H1 2026 delivered $103.9M revenue with $10.5M adjusted EBITDA [1][2]. The consolidated entity should have substantially different metrics, but material weaknesses in internal controls flagged by management as of December 31, 2025 raise questions about financial reporting reliability [3]. Market cap of ~$11.7M against DCSC's $209.5M revenue is an extreme valuation disconnect.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Aspire-Lakewood operates with a financial holding company mindset rather than a purpose-driven one. The DCSC acquisition was an opportunistic financial transaction — buying a $209.5M revenue company for $30M — that demonstrated extraordinary deal-making but not purpose-driven strategy. The company's simultaneous pursuit of unrelated businesses (sublingual drugs, caffeine supplements, automotive parts) suggests revenue-generation opportunism rather than a Just Cause. Material weaknesses in internal controls and frequent governance changes reinforce the finite, survival-mode posture.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DCSC's 100+ year history in automotive engineering and Aspire's sublingual drug delivery platform both address real needs — vehicle safety/electrification and faster drug absorption — but the holding company articulates no unifying purpose that connects these disparate businesses [2]. The company exists to generate shareholder value through opportunistic acquisitions rather than to advance a vision of a better future. CEO communications focus on financial undervaluation, not mission.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Material weaknesses in internal controls identified as of December 31, 2025 signal organizational immaturity and inadequate governance infrastructure [3]. The auditor change from Turner Stone to CBIZ CPAs adds instability. No employee count, satisfaction, or retention data is publicly available for either the holding company or DCSC. The transition from Aspire Biopharma to Aspire-Lakewood with a dramatically different business model creates integration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(Continental, Bosch, Aptiv in automotive; IntelGenx in sublingual) as worthy rivals whose strengths inspire self-improvement [2]. The company's positioning emphasizes the DCSC acquisition value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a pre-revenue sublingual drug delivery company to a $200M+ revenue automotive control systems holding company represents a dramatic strategic pivot that fundamentally redefined the company [1][2]. Acquiring DCSC for $30M was a bold repositioning. However, this pivot was driven by financial opportunism — finding an undervalued asset — rather than by a Just Cause that demanded a new direction. The biopharma business remains alongside automotive, suggesting accumulation rather than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Acquiring a $209.5M-revenue tier-one automotive supplier for $30M required conviction and deal-making courage for a micro-cap company with minimal revenue [1][2]. The $10M share buyback program authorized in September 2026 demonstrates management belief in the undervaluation thesis. However, the material weaknesses in internal controls and auditor transition suggest the company may have moved faster than its governance infrastructure could support, which is impulsive rather than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Aspire-Lakewood at an $11.7M market cap holds DCSC, a tier-one global automotive supplier with $209.5M in FY2025 revenue, $22.3M adjusted EBITDA, 310+ patents, and products on 150+ vehicle platforms — acquired for just $30M [1][2]. This extreme valuation disconnect implies the market has not yet recognized the consolidated entity's value; if DCSC trades at even 0.5x revenue, the subsidiary alone would be worth ~$105M against a current market cap of $11.7M. The $10M share buyback program authorized in September 2026 signals management conviction in the undervaluation [1]. H1 2026 DCSC performance of $103.9M revenue and $10.5M adjusted EBITDA demonstrates continued operational execution. The sublingual drug delivery pipeline (aspirin NDA, semaglutide formulation) provides additional optionality.</w:t>
      </w:r>
    </w:p>
    <w:p>
      <w:pPr>
        <w:spacing w:after="120"/>
      </w:pPr>
      <w:r>
        <w:rPr>
          <w:rFonts w:ascii="Calibri" w:hAnsi="Calibri"/>
          <w:b w:val="0"/>
          <w:color w:val="3A4A28"/>
          <w:sz w:val="20"/>
        </w:rPr>
        <w:t>The investment case carries extreme risk across multiple dimensions. The stock FAILS the IOWN liquidity floor with only $329K in daily dollar volume (39,374 shares × $8.35), making any meaningful position virtually untradeable [4]. Material weaknesses in internal controls identified as of December 31, 2025 raise serious questions about financial reporting reliability, compounded by the auditor change to CBIZ CPAs [3]. The holding company structure connecting sublingual drug delivery to automotive control systems lacks strategic coherence. Parent-level financials show a $24.5M net loss on essentially zero revenue, and consolidated financial statements may not yet be available or reliable given the control weaknesses. The $11.7M market cap with near-zero institutional ownership and zero analyst coverage means the stock is essentially uninvestable for any disciplined portfolio strategy. DCSC's automotive business faces cyclical risk from vehicle production volumes and competitive pressure from much larger tier-one suppliers (Continental, Bosch, Aptiv)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Publication of consolidated financial statements reflecting DCSC's $209.5M revenue and $22.3M adjusted EBITDA could force a dramatic market revaluation from the current $11.7M market cap [1][2]</w:t>
      </w:r>
    </w:p>
    <w:p>
      <w:pPr>
        <w:spacing w:before="40" w:after="40"/>
        <w:ind w:left="283"/>
      </w:pPr>
      <w:r>
        <w:rPr>
          <w:rFonts w:ascii="Calibri" w:hAnsi="Calibri"/>
          <w:b/>
          <w:color w:val="4A6B25"/>
          <w:sz w:val="20"/>
        </w:rPr>
        <w:t xml:space="preserve">2. </w:t>
      </w:r>
      <w:r>
        <w:rPr>
          <w:rFonts w:ascii="Calibri" w:hAnsi="Calibri"/>
          <w:b w:val="0"/>
          <w:color w:val="3A4A28"/>
          <w:sz w:val="20"/>
        </w:rPr>
        <w:t>DCSC's positioning in vehicle electrification and safety control systems provides a secular tailwind as the auto industry transitions to electric and autonomous platforms [2]</w:t>
      </w:r>
    </w:p>
    <w:p>
      <w:pPr>
        <w:spacing w:before="40" w:after="40"/>
        <w:ind w:left="283"/>
      </w:pPr>
      <w:r>
        <w:rPr>
          <w:rFonts w:ascii="Calibri" w:hAnsi="Calibri"/>
          <w:b/>
          <w:color w:val="4A6B25"/>
          <w:sz w:val="20"/>
        </w:rPr>
        <w:t xml:space="preserve">3. </w:t>
      </w:r>
      <w:r>
        <w:rPr>
          <w:rFonts w:ascii="Calibri" w:hAnsi="Calibri"/>
          <w:b w:val="0"/>
          <w:color w:val="3A4A28"/>
          <w:sz w:val="20"/>
        </w:rPr>
        <w:t>$10M share buyback program authorized September 2026, representing approximately 85% of the current market cap, could provide meaningful price support and signal management conviction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$329K fails the IOWN $1M liquidity floor — the stock is effectively untradeable for any disciplined position-sizing strategy with near-zero institutional ownership and zero analyst coverage [4]</w:t>
      </w:r>
    </w:p>
    <w:p>
      <w:pPr>
        <w:spacing w:before="40" w:after="40"/>
        <w:ind w:left="283"/>
      </w:pPr>
      <w:r>
        <w:rPr>
          <w:rFonts w:ascii="Calibri" w:hAnsi="Calibri"/>
          <w:b/>
          <w:color w:val="4A6B25"/>
          <w:sz w:val="20"/>
        </w:rPr>
        <w:t xml:space="preserve">2. </w:t>
      </w:r>
      <w:r>
        <w:rPr>
          <w:rFonts w:ascii="Calibri" w:hAnsi="Calibri"/>
          <w:b w:val="0"/>
          <w:color w:val="3A4A28"/>
          <w:sz w:val="20"/>
        </w:rPr>
        <w:t>Material weaknesses in internal controls as of December 31, 2025 and auditor change raise serious doubts about financial reporting reliability, particularly for the complex consolidation of the DCSC acquisition [3]</w:t>
      </w:r>
    </w:p>
    <w:p>
      <w:pPr>
        <w:spacing w:before="40" w:after="40"/>
        <w:ind w:left="283"/>
      </w:pPr>
      <w:r>
        <w:rPr>
          <w:rFonts w:ascii="Calibri" w:hAnsi="Calibri"/>
          <w:b/>
          <w:color w:val="4A6B25"/>
          <w:sz w:val="20"/>
        </w:rPr>
        <w:t xml:space="preserve">3. </w:t>
      </w:r>
      <w:r>
        <w:rPr>
          <w:rFonts w:ascii="Calibri" w:hAnsi="Calibri"/>
          <w:b w:val="0"/>
          <w:color w:val="3A4A28"/>
          <w:sz w:val="20"/>
        </w:rPr>
        <w:t>Strategic incoherence of a holding company combining sublingual drug delivery with automotive control systems manufacturing, combined with parent-level $24.5M net loss and no meaningful parent revenue, suggests the corporate structure may obscure rather than create value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DCSC's core business of designing and manufacturing physical automotive control systems — combining mechanical engineering, electronics, and embedded software for vehicle electrification, safety, and lightweighting — involves tangible manufacturing processes that AI cannot substitute [2]. The 310+ patent portfolio and highly engineered products supporting 150+ vehicle platforms create IP-based moats. Vehicle electrification is a secular tailwind that increases demand for control systems. However, AI-driven autonomous driving and advanced driver assistance systems could disrupt some product categories, and AI-enabled design tools may reduce engineering differentiation over time. The sublingual drug delivery technology is similarly protected by physical chemistry and FDA regulatory barriers. AI Opportunity (0/1): Neither DCSC's automotive business nor the biopharma segment generates AI-related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Aspire-Lakewood Holdings Press Releases — DCSC Acquisition ($30M for $209.5M Revenue Business), $10M Share Buyback Authorization — NASDAQ, StockTitan, BayToBayNews, September 2026</w:t>
      </w:r>
    </w:p>
    <w:p>
      <w:pPr>
        <w:spacing w:before="20" w:after="20"/>
        <w:ind w:left="170"/>
      </w:pPr>
      <w:r>
        <w:rPr>
          <w:rFonts w:ascii="Calibri" w:hAnsi="Calibri"/>
          <w:b/>
          <w:color w:val="4A6B25"/>
          <w:sz w:val="15"/>
        </w:rPr>
        <w:t xml:space="preserve">2. </w:t>
      </w:r>
      <w:r>
        <w:rPr>
          <w:rFonts w:ascii="Calibri" w:hAnsi="Calibri"/>
          <w:b w:val="0"/>
          <w:color w:val="3A4A28"/>
          <w:sz w:val="17"/>
        </w:rPr>
        <w:t>DCSC Business Profile — 310+ Patents, 275+ Parts, 150+ Vehicle Platforms, Tier-One Automotive Supplier, 100+ Year History — Yahoo Finance, Investing.com, CityBiz, 2025-2026</w:t>
      </w:r>
    </w:p>
    <w:p>
      <w:pPr>
        <w:spacing w:before="20" w:after="20"/>
        <w:ind w:left="170"/>
      </w:pPr>
      <w:r>
        <w:rPr>
          <w:rFonts w:ascii="Calibri" w:hAnsi="Calibri"/>
          <w:b/>
          <w:color w:val="4A6B25"/>
          <w:sz w:val="15"/>
        </w:rPr>
        <w:t xml:space="preserve">3. </w:t>
      </w:r>
      <w:r>
        <w:rPr>
          <w:rFonts w:ascii="Calibri" w:hAnsi="Calibri"/>
          <w:b w:val="0"/>
          <w:color w:val="3A4A28"/>
          <w:sz w:val="17"/>
        </w:rPr>
        <w:t>Aspire-Lakewood Governance — Material Weaknesses in Internal Controls, Auditor Change to CBIZ CPAs, Corporate Name Change — SEC Filings, Investing.com, 2025-2026</w:t>
      </w:r>
    </w:p>
    <w:p>
      <w:pPr>
        <w:spacing w:before="20" w:after="20"/>
        <w:ind w:left="170"/>
      </w:pPr>
      <w:r>
        <w:rPr>
          <w:rFonts w:ascii="Calibri" w:hAnsi="Calibri"/>
          <w:b/>
          <w:color w:val="4A6B25"/>
          <w:sz w:val="15"/>
        </w:rPr>
        <w:t xml:space="preserve">4. </w:t>
      </w:r>
      <w:r>
        <w:rPr>
          <w:rFonts w:ascii="Calibri" w:hAnsi="Calibri"/>
          <w:b w:val="0"/>
          <w:color w:val="3A4A28"/>
          <w:sz w:val="17"/>
        </w:rPr>
        <w:t>ASBP Key Financial Statistics — Market Cap $11.7M, Price $8.35, Avg Volume 39,374, ROE -10.3% — StockAnalysis, Finviz, yfinance,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