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ASML</w:t>
      </w:r>
      <w:r>
        <w:rPr>
          <w:rFonts w:ascii="Calibri" w:hAnsi="Calibri"/>
          <w:b/>
          <w:color w:val="1A2010"/>
          <w:sz w:val="40"/>
        </w:rPr>
        <w:t xml:space="preserve">  ASML Holding N.V.</w:t>
      </w:r>
    </w:p>
    <w:p>
      <w:pPr>
        <w:spacing w:after="120"/>
      </w:pPr>
      <w:r>
        <w:rPr>
          <w:rFonts w:ascii="Calibri" w:hAnsi="Calibri"/>
          <w:b/>
          <w:color w:val="6E8450"/>
          <w:sz w:val="18"/>
        </w:rPr>
        <w:t>GROWTH SLEEVE · 2026-09-14 · Inspire: -49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8F5E9" w:val="clear"/>
          </w:tcPr>
          <w:p>
            <w:pPr>
              <w:spacing w:before="40" w:after="40"/>
              <w:jc w:val="center"/>
            </w:pPr>
            <w:r>
              <w:rPr>
                <w:rFonts w:ascii="Calibri" w:hAnsi="Calibri"/>
                <w:b/>
                <w:color w:val="16A34A"/>
                <w:sz w:val="20"/>
              </w:rPr>
              <w:t>BUY</w:t>
            </w:r>
          </w:p>
        </w:tc>
      </w:tr>
    </w:tbl>
    <w:p>
      <w:pPr>
        <w:spacing w:before="120" w:after="200"/>
      </w:pPr>
      <w:r>
        <w:rPr>
          <w:rFonts w:ascii="Calibri" w:hAnsi="Calibri"/>
          <w:b/>
          <w:color w:val="1A2010"/>
          <w:sz w:val="80"/>
        </w:rPr>
        <w:t>88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 Equipment · NASDAQ · Netherlands</w:t>
      </w:r>
    </w:p>
    <w:p>
      <w:pPr>
        <w:spacing w:after="80"/>
      </w:pPr>
      <w:r>
        <w:rPr>
          <w:rFonts w:ascii="Calibri" w:hAnsi="Calibri"/>
          <w:b w:val="0"/>
          <w:color w:val="3A4A28"/>
          <w:sz w:val="20"/>
        </w:rPr>
        <w:t>ASML Holding N.V. is the world's sole supplier of extreme ultraviolet (EUV) lithography systems, the critical technology enabling the most advanced semiconductor chips at 5nm and below. The company also produces deep ultraviolet (DUV) lithography systems and metrology and inspection tools. ASML serves every major chipmaker globally, including TSMC, Samsung, Intel, and SK Hynix. With a monopoly on EUV technology and the emerging High-NA EUV platform, ASML is the fundamental enabler of Moore's Law continuation and the AI computing revolution. Q2 FY2026 revenue of approximately $10.65B (+21.3% YoY), FY2026 guidance raised to EUR43-45B revenue with 54-56% gross margin [1]. Founded in 1984, headquartered in Veldhoven, Netherlands.</w:t>
      </w:r>
    </w:p>
    <w:p>
      <w:r>
        <w:rPr>
          <w:rFonts w:ascii="Calibri" w:hAnsi="Calibri"/>
          <w:b/>
          <w:color w:val="6E8450"/>
          <w:sz w:val="18"/>
        </w:rPr>
        <w:t>44,000 Employees · https://www.asml.com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ASML has delivered multiple generations of lithography technology that define the frontier of semiconductor manufacturing. The successful commercialization of EUV lithography — a 20+ year development effort that many doubted would ever work — is one of the most significant engineering achievements of the 21st century. High-NA EUV systems are now shipping, representing the next generation of chip manufacturing capability [1]. The company has raised its 2026 revenue guidance twice — from EUR36-40B to EUR43-45B — reflecting extraordinary AI-driven demand momentum [1][3]. AI Deployment (2/2): ASML's computational lithography software products use AI/ML to optimize chip patterning, and Installed Base Management services deploy AI for predictive maintenance and machine optimization across customer fleets — IBM revenue reached $3.15B in Q2 2026, driven by AI-enabled upgrades [1]. The partnership with Mistral AI announced in 2026 is expanding AI application across products, processes, and performance [4]. Revenue is directly driven by AI chip demand, with memory revenue growing 75% in 2026 [3]. Market Share (2/2): ASML holds a 100% monopoly on EUV lithography globally. There is no alternative supplier. CEO Christophe Fouquet stated 'no one is coming for us' and customers are sold out for 2026 on memory [1][4]. This is the most absolute market dominance of any company in the semiconductor supply chain. Product Pipeline (2/2): High-NA EUV (EXE:5200) systems are shipping to customers. ASML is planning a 30% increase in Low-NA EUV capacity for 2027, is close to fully covered with orders for 2027, has received large orders for 2028, and is investigating another 30% capacity increase [1]. Specific products, timelines, and EUR38.8B in backlog provide unprecedented revenue visibility. R&amp;D Intensity (1/1): ASML invests approximately 15-17% of revenue in R&amp;D (~EUR1.2B per quarter, ~EUR5B annually), well above semiconductor equipment industry average, developing the most complex optical and mechanical systems ever built [1][5].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ASML's mission centers on enabling semiconductor innovation and societal progress through advanced lithography, with core values of Challenge, Collaborate, Care, and Excellence in Execution [4]. CEO Fouquet articulates the purpose as enabling the digital future and doing 'the right thing for our customers and the industry,' validated by 40 years of consistent investment in lithography technology even when EUV's viability was widely questioned [4]. The purpose is specific, thoughtful, and demonstrably shapes strategic decisions. It falls just short of transformative (4/4) because it is fundamentally about enabling customers rather than articulating an independent vision of a better future. Community Impact (0/2): No specific charitable programs, foundation giving amounts, or measurable community investment data was identified in research. Employee Retention (2/2): CEO Fouquet describes ASML as 'a big company that still feels like a family' with 'extremely accessible leadership, no hierarchy, no mental hierarchy' [4]. Fast Company noted 'ASML's greatest strength may be cultural' — a company that has 'grown without losing its sense of curiosity or cohesion' to 44,000 employees [4]. This open, collaborative culture is widely cited as a competitive advantage in recruiting and retaining top engineering talent in the competitive Netherlands tech market. Insider Buying (1/2): Some insider buying was identified in early 2026, though insufficient data exists to confirm sustained net insider buying over the trailing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for a Growth stock. D/E of 9% is exceptionally low (score 1.0), with net cash of $6.38B ($8.65B cash vs. $2.26B debt) — a fortress balance sheet [5]. ROE of 53.94% massively exceeds the 15% target (score 1.0 at 2x weight), reflecting extraordinary capital efficiency [5]. Revenue Growth YoY of approximately 25% (Q2 +21.3%, with full-year guided at EUR43-45B vs. ~EUR31B in 2025) exceeds the 10% target (score 1.0) [1]. Revenue Growth 5yr CAGR of approximately 22% exceeds the 10% target (score 1.0 at 2x weight) [5]. Profit margin of 30.11% exceeds the 20% target (score 1.0) [5]. Forward P/E of 30.27 is above the 20 target (score 0.743) [5]. The main weakness is valuation: Forward PEG of 2.35 is elevated relative to the 1.0 target (score 0.325 at 2x weight), reflecting the premium the market places on ASML's monopoly position and AI-driven growth trajectory [5]. The stock clears the liquidity floor with ~$1.9B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9</w:t>
      </w:r>
      <w:r>
        <w:rPr>
          <w:rFonts w:ascii="Calibri" w:hAnsi="Calibri"/>
          <w:b w:val="0"/>
          <w:color w:val="9DAF88"/>
          <w:sz w:val="18"/>
        </w:rPr>
        <w:t xml:space="preserve"> /10</w:t>
      </w:r>
    </w:p>
    <w:p>
      <w:pPr>
        <w:spacing w:after="120"/>
      </w:pPr>
      <w:r>
        <w:rPr>
          <w:rFonts w:ascii="Calibri" w:hAnsi="Calibri"/>
          <w:b w:val="0"/>
          <w:color w:val="3A4A28"/>
          <w:sz w:val="18"/>
        </w:rPr>
        <w:t>ASML is a canonical infinite game company. The 40-year commitment to advancing lithography technology — including the 20+ year, multi-billion-dollar development of EUV when the industry doubted it would ever work — exemplifies playing to keep playing rather than to win this quarter. CEO Christophe Fouquet maintains the culture of collaboration, direct communication, and customer-first decision-making that has characterized ASML since its founding as a Philips spinoff in 1984. The monopoly was built not through acquisition or market manipulation but through patient, persistent R&amp;D investment in the hardest engineering problems in the world. Strategic decisions consistently trace back to the purpose of enabling semiconductor innovation [4].</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ASML's purpose — enabling the advancement of semiconductor technology through lithography innovation — has been validated by 40 years of consistent execution [4]. The company spent over 20 years and billions of euros developing EUV lithography when many customers and industry observers doubted it would ever work. ASML persisted because it believed the semiconductor industry needed EUV to continue advancing. This purpose survived multiple leadership transitions (from Arthur del Prado through Peter Wennink to Christophe Fouquet) and the 2008 financial crisis. Strategic decisions — investing in High-NA EUV, expanding capacity by 30% annually, maintaining the open innovation model with Zeiss and TRUMPF — all trace directly to this purpose [1]. The purpose IS the competitive advantage: ASML's monopoly exists because no other company was willing to invest for 20 years without returns.</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CEO Fouquet describes ASML as 'a big company that still feels like a family' with 'extremely accessible leadership, no hierarchy, no mental hierarchy' and 'people can come and talk to anyone' [4]. Fast Company identified culture as 'ASML's greatest strength' — a company that has grown without losing its 'sense of curiosity or cohesion' to 44,000 employees [4]. This culture of openness and collaboration is foundational to ASML's innovation model — engineers must feel safe to experiment with the most complex optical systems ever built. ASML's core values of Challenge, Collaborate, Care, and Excellence in Execution explicitly prioritize psychological safety and teamwork.</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Despite holding a monopoly on EUV lithography, ASML maintains an infinite competitive mindset. CEO Fouquet's emphasis on doing 'the right thing for customers and the industry' reflects a philosophy of improving the industry rather than dominating it [4]. ASML's open innovation model — collaborating deeply with Zeiss (optics), TRUMPF (lasers), and customers (TSMC, Samsung, Intel) — treats partners as worthy collaborators whose strengths make ASML's technology better. The company does not frame its market position in terms of 'winning' but in terms of enabling progress. When asked about Substrate and Chinese reverse-engineering efforts, Fouquet projects confidence without competitive aggression [4].</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ASML has evolved its technology platform significantly over 40 years — from contact printers to steppers to scanners to DUV to EUV to High-NA EUV [1]. Each generation required substantial R&amp;D investment and represented a meaningful technical evolution. The transition from DUV to EUV was particularly dramatic, requiring entirely new light sources, optics, and manufacturing processes. However, ASML has always been a lithography company — the evolution, while technically transformative, has been along a consistent strategic path rather than a complete business model reinvention in the Sinek sense.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ASML's history is a masterclass in courageous leadership. The company invested billions of euros over 20+ years in EUV development when success was uncertain and the industry was skeptical [4]. Multiple times during EUV development, ASML could have abandoned the program and focused on safer DUV improvements. Instead, leadership persisted through technical setbacks, customer skepticism, and financial pressure because they believed EUV was essential for the industry's future. Now investing in High-NA EUV and planning 30% annual capacity increases, ASML continues to make enormous long-term bets [1]. The pattern is clear: invest ahead of demand in service of the purpose, even when near-term returns are uncertain.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ASML delivered Q2 2026 revenue of approximately $10.65B (+21.3% YoY) with EPS of $8.67, beating consensus for the fourth consecutive quarter, driven by Installed Base Management revenue of $3.15B as customers accelerated AI-related upgrades [1]. The company raised its FY2026 guidance for the second time to EUR43-45B revenue with 54-56% gross margin, explicitly attributing the raise to surging AI chip demand [1][3]. ASML holds a 100% monopoly on EUV lithography — the essential technology for manufacturing every advanced AI chip — with a backlog of approximately EUR38.8B, close to fully covered for 2027, and planning 30% annual EUV capacity increases [1]. Financial metrics are outstanding: 9% D/E (net cash of $6.38B), 53.94% ROE, 30.11% profit margin, ~25% YoY revenue growth, and ~22% 5-year revenue CAGR [5]. At $1,698 with a Forward P/E of 30.27, the valuation has compressed from 31.47x in July, while analyst consensus targets $2,159.50 (+27% upside) [5]. Memory revenue growing 75% in 2026 (driven by HBM for AI training) opens a large new market segment. The Inspire score of -49 (MISALIGNED) is a consideration for faith-aligned portfolios.</w:t>
      </w:r>
    </w:p>
    <w:p>
      <w:pPr>
        <w:spacing w:after="120"/>
      </w:pPr>
      <w:r>
        <w:rPr>
          <w:rFonts w:ascii="Calibri" w:hAnsi="Calibri"/>
          <w:b w:val="0"/>
          <w:color w:val="3A4A28"/>
          <w:sz w:val="20"/>
        </w:rPr>
        <w:t>The bear case centers on valuation, cyclicality, and geopolitical risk. At 30.27x forward earnings and a PEG of 2.35, ASML is priced for near-perfect execution with limited margin of safety [5]. The semiconductor equipment industry is historically cyclical, and the current AI-driven supercycle could moderate if hyperscaler capital spending plateaus or chip overcapacity emerges in 2027-2028. Geopolitical risk has intensified: U.S. lawmakers introduced the MATCH Act proposing to ban DUV immersion lithography exports AND servicing of existing equipment in China, which would materially impact the approximately 20% of net sales ASML derives from China in 2026 [6]. ASML denied allegations that it breached EUV export controls regarding China, but the political environment is increasingly hostile to any ASML-China engagement. Former ASML engineers in China have reportedly partially reverse-engineered EUV technology, and Substrate, a $1B+ Peter Thiel-backed startup, is attempting to build rival lithography — though CEO Fouquet dismisses both threats [4][6]. ASML's 30%+ annual capacity expansion plans require significant capital investment and could create oversupply risk if demand decelerates. The stock has declined 6.4% from July's $1,815 to $1,698, reflecting these concerns.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AI chip demand surge driving additional orders for 2027-2028, with ASML potentially raising guidance again as the EUR38.8B backlog continues to expand — management describes order intake as 'very strong' even after stopping quarterly bookings disclosure [1]</w:t>
      </w:r>
    </w:p>
    <w:p>
      <w:pPr>
        <w:spacing w:before="40" w:after="40"/>
        <w:ind w:left="283"/>
      </w:pPr>
      <w:r>
        <w:rPr>
          <w:rFonts w:ascii="Calibri" w:hAnsi="Calibri"/>
          <w:b/>
          <w:color w:val="4A6B25"/>
          <w:sz w:val="20"/>
        </w:rPr>
        <w:t xml:space="preserve">2. </w:t>
      </w:r>
      <w:r>
        <w:rPr>
          <w:rFonts w:ascii="Calibri" w:hAnsi="Calibri"/>
          <w:b w:val="0"/>
          <w:color w:val="3A4A28"/>
          <w:sz w:val="20"/>
        </w:rPr>
        <w:t>High-NA EUV (EXE:5200) adoption accelerating as chipmakers move to 2nm and below process nodes, creating a higher-ASP product cycle ($350M+ per machine) that expands ASML's revenue per system delivered [1]</w:t>
      </w:r>
    </w:p>
    <w:p>
      <w:pPr>
        <w:spacing w:before="40" w:after="40"/>
        <w:ind w:left="283"/>
      </w:pPr>
      <w:r>
        <w:rPr>
          <w:rFonts w:ascii="Calibri" w:hAnsi="Calibri"/>
          <w:b/>
          <w:color w:val="4A6B25"/>
          <w:sz w:val="20"/>
        </w:rPr>
        <w:t xml:space="preserve">3. </w:t>
      </w:r>
      <w:r>
        <w:rPr>
          <w:rFonts w:ascii="Calibri" w:hAnsi="Calibri"/>
          <w:b w:val="0"/>
          <w:color w:val="3A4A28"/>
          <w:sz w:val="20"/>
        </w:rPr>
        <w:t>Memory revenue growing 75% in 2026 as HBM (High Bandwidth Memory) for AI training requires EUV lithography, with DRAM makers TSMC, Samsung, and SK Hynix investing heavily in capacity — opening a large new revenue segment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PEG of 2.35 and P/E of 30.27x price in substantial future growth with limited margin of safety — any deceleration in AI chip demand, hyperscaler capex reduction, or guidance miss could trigger significant multiple compression from the $659B market cap [5]</w:t>
      </w:r>
    </w:p>
    <w:p>
      <w:pPr>
        <w:spacing w:before="40" w:after="40"/>
        <w:ind w:left="283"/>
      </w:pPr>
      <w:r>
        <w:rPr>
          <w:rFonts w:ascii="Calibri" w:hAnsi="Calibri"/>
          <w:b/>
          <w:color w:val="4A6B25"/>
          <w:sz w:val="20"/>
        </w:rPr>
        <w:t xml:space="preserve">2. </w:t>
      </w:r>
      <w:r>
        <w:rPr>
          <w:rFonts w:ascii="Calibri" w:hAnsi="Calibri"/>
          <w:b w:val="0"/>
          <w:color w:val="3A4A28"/>
          <w:sz w:val="20"/>
        </w:rPr>
        <w:t>Escalating U.S.-China technology export controls — the proposed MATCH Act would ban DUV immersion lithography exports AND servicing of existing equipment in China, potentially eliminating the approximately 20% of net sales ASML derives from Chinese customers in 2026 [6]</w:t>
      </w:r>
    </w:p>
    <w:p>
      <w:pPr>
        <w:spacing w:before="40" w:after="40"/>
        <w:ind w:left="283"/>
      </w:pPr>
      <w:r>
        <w:rPr>
          <w:rFonts w:ascii="Calibri" w:hAnsi="Calibri"/>
          <w:b/>
          <w:color w:val="4A6B25"/>
          <w:sz w:val="20"/>
        </w:rPr>
        <w:t xml:space="preserve">3. </w:t>
      </w:r>
      <w:r>
        <w:rPr>
          <w:rFonts w:ascii="Calibri" w:hAnsi="Calibri"/>
          <w:b w:val="0"/>
          <w:color w:val="3A4A28"/>
          <w:sz w:val="20"/>
        </w:rPr>
        <w:t>Semiconductor equipment cyclicality — the AI-driven supercycle could moderate if overcapacity emerges or if the planned 30% annual EUV capacity increases create supply/demand imbalances in 2027-2028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ASML IS the AI infrastructure. Every advanced AI chip manufactured — NVIDIA Blackwell, AMD MI series, Intel data center processors, Google TPUs — requires ASML's EUV lithography [1][3]. AI cannot disrupt ASML because ASML is the foundation upon which AI is built. The company holds a 100% monopoly on EUV lithography with no alternative supplier, protected by decades of accumulated R&amp;D, over 10,000 patents, and the most complex supply chain in technology (including Zeiss optics and TRUMPF lasers). Far from being disrupted by AI, the AI boom has driven record demand — the second 2026 guidance raise to EUR43-45B is explicitly driven by AI chip demand [3]. CEO Fouquet has warned that supply constraints, not demand, are the limiting factor. Substrate, a Peter Thiel-backed startup, has raised $100M+ to build a rival lithography machine, but CEO Fouquet dismisses the competitive threat, stating 'no one is coming for us' [4]. AI Opportunity (1/1): ASML generates substantial, rapidly growing revenue directly from AI chip manufacturing demand. Memory revenue is growing 75% in 2026 driven by HBM for AI training [3]. Installed Base Management revenue of $3.15B in Q2 2026 reflects AI-driven demand for machine upgrades [1]. The entirety of ASML's EUV revenue is AI-adjacent.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ASML Q2 FY2026 Earnings — Revenue ~$10.65B (+21.3% YoY), EPS $8.67 (Beat for 4th Consecutive Quarter), IBM Revenue $3.15B, FY2026 Guidance Raised to EUR43-45B Revenue / 54-56% Gross Margin, Q3 Guidance EUR11-12B — 247WallSt, TIKR, EBC Financial, July-August 2026</w:t>
      </w:r>
    </w:p>
    <w:p>
      <w:pPr>
        <w:spacing w:before="20" w:after="20"/>
        <w:ind w:left="170"/>
      </w:pPr>
      <w:r>
        <w:rPr>
          <w:rFonts w:ascii="Calibri" w:hAnsi="Calibri"/>
          <w:b/>
          <w:color w:val="4A6B25"/>
          <w:sz w:val="15"/>
        </w:rPr>
        <w:t xml:space="preserve">2. </w:t>
      </w:r>
      <w:r>
        <w:rPr>
          <w:rFonts w:ascii="Calibri" w:hAnsi="Calibri"/>
          <w:b w:val="0"/>
          <w:color w:val="3A4A28"/>
          <w:sz w:val="17"/>
        </w:rPr>
        <w:t>ASML Q1 FY2026 Earnings — EUR8.8B Revenue, First Guidance Raise to EUR43-45B, Record Demand, High-NA EUV Shipping — Tech-Insider, April 2026</w:t>
      </w:r>
    </w:p>
    <w:p>
      <w:pPr>
        <w:spacing w:before="20" w:after="20"/>
        <w:ind w:left="170"/>
      </w:pPr>
      <w:r>
        <w:rPr>
          <w:rFonts w:ascii="Calibri" w:hAnsi="Calibri"/>
          <w:b/>
          <w:color w:val="4A6B25"/>
          <w:sz w:val="15"/>
        </w:rPr>
        <w:t xml:space="preserve">3. </w:t>
      </w:r>
      <w:r>
        <w:rPr>
          <w:rFonts w:ascii="Calibri" w:hAnsi="Calibri"/>
          <w:b w:val="0"/>
          <w:color w:val="3A4A28"/>
          <w:sz w:val="17"/>
        </w:rPr>
        <w:t>ASML AI Demand Catalyst — Memory Revenue Growing 75% in 2026, Second Guidance Raise Driven by AI Chip Demand, Customers Sold Out for 2026 Memory — CNBC, IndMoney, 2026</w:t>
      </w:r>
    </w:p>
    <w:p>
      <w:pPr>
        <w:spacing w:before="20" w:after="20"/>
        <w:ind w:left="170"/>
      </w:pPr>
      <w:r>
        <w:rPr>
          <w:rFonts w:ascii="Calibri" w:hAnsi="Calibri"/>
          <w:b/>
          <w:color w:val="4A6B25"/>
          <w:sz w:val="15"/>
        </w:rPr>
        <w:t xml:space="preserve">4. </w:t>
      </w:r>
      <w:r>
        <w:rPr>
          <w:rFonts w:ascii="Calibri" w:hAnsi="Calibri"/>
          <w:b w:val="0"/>
          <w:color w:val="3A4A28"/>
          <w:sz w:val="17"/>
        </w:rPr>
        <w:t>ASML CEO Christophe Fouquet — 'No One Is Coming for Us,' Culture 'Feels Like Family,' Open Innovation Model, Mistral AI Partnership, Substrate Competitive Assessment — IMD, Fast Company, Yahoo Finance, 2025-2026</w:t>
      </w:r>
    </w:p>
    <w:p>
      <w:pPr>
        <w:spacing w:before="20" w:after="20"/>
        <w:ind w:left="170"/>
      </w:pPr>
      <w:r>
        <w:rPr>
          <w:rFonts w:ascii="Calibri" w:hAnsi="Calibri"/>
          <w:b/>
          <w:color w:val="4A6B25"/>
          <w:sz w:val="15"/>
        </w:rPr>
        <w:t xml:space="preserve">5. </w:t>
      </w:r>
      <w:r>
        <w:rPr>
          <w:rFonts w:ascii="Calibri" w:hAnsi="Calibri"/>
          <w:b w:val="0"/>
          <w:color w:val="3A4A28"/>
          <w:sz w:val="17"/>
        </w:rPr>
        <w:t>StockAnalysis — ASML Key Statistics: Stock Price $1,698.30, Market Cap $659B, Forward P/E 30.27, PEG 2.35, ROE 53.94%, D/E 9%, Profit Margin 30.11%, Dividend Yield 0.45%, Avg Volume 1.12M, Analyst Target $2,159.50 —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ASML China Export Control Risk — MATCH Act Proposed (Ban DUV Exports and Servicing), China ~20% of 2026 Net Sales, ASML Denies EUV Breach Allegations, Former Engineers Reverse-Engineering, Substrate ($1B+ Peter Thiel Startup) — CNBC, Yahoo Finance, Motley Fool, April-July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