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ASND</w:t>
      </w:r>
      <w:r>
        <w:rPr>
          <w:rFonts w:ascii="Calibri" w:hAnsi="Calibri"/>
          <w:b/>
          <w:color w:val="1A2010"/>
          <w:sz w:val="40"/>
        </w:rPr>
        <w:t xml:space="preserve">  Ascendis Pharma A/S</w:t>
      </w:r>
    </w:p>
    <w:p>
      <w:pPr>
        <w:spacing w:after="120"/>
      </w:pPr>
      <w:r>
        <w:rPr>
          <w:rFonts w:ascii="Calibri" w:hAnsi="Calibri"/>
          <w:b/>
          <w:color w:val="6E8450"/>
          <w:sz w:val="18"/>
        </w:rPr>
        <w:t>GROWTH SLEEVE · 2026-10-10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Denmark</w:t>
      </w:r>
    </w:p>
    <w:p>
      <w:pPr>
        <w:spacing w:after="80"/>
      </w:pPr>
      <w:r>
        <w:rPr>
          <w:rFonts w:ascii="Calibri" w:hAnsi="Calibri"/>
          <w:b w:val="0"/>
          <w:color w:val="3A4A28"/>
          <w:sz w:val="20"/>
        </w:rPr>
        <w:t>Ascendis Pharma A/S is a biopharmaceutical company focused on developing and commercializing TransCon-based therapies for unmet medical needs in endocrinology rare diseases and oncology. Three commercial products generate revenue: YORVIPATH for chronic hypoparathyroidism (blockbuster status, EUR 252M in Q2 2026), SKYTROFA for pediatric growth hormone deficiency (EUR 55M Q2), and YUVIWEL/TransCon hGH (EUR 8M Q2). Q2 2026 product revenue surged 105% YoY to EUR 315M with 27% non-IFRS operating margin. Founded in 2007 by CEO Jan Moller Mikkelsen and headquartered in Hellerup, Denmark.</w:t>
      </w:r>
    </w:p>
    <w:p>
      <w:r>
        <w:rPr>
          <w:rFonts w:ascii="Calibri" w:hAnsi="Calibri"/>
          <w:b/>
          <w:color w:val="6E8450"/>
          <w:sz w:val="18"/>
        </w:rPr>
        <w:t>1,189 Employees · https://ascendispharma.com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Ascendis has executed a remarkable transformation from clinical-stage biotech to profitable commercial biopharma with three products generating over EUR 1B annualized revenue. YORVIPATH achieved blockbuster status with EUR 252M in Q2 2026 alone, creating an entirely new therapeutic category for chronic hypoparathyroidism [1]. Product revenue more than doubled YoY (+105% in Q2 2026), validating the TransCon platform's versatility across multiple endocrine indications. AI Deployment (1/2): Ascendis uses computational chemistry and data-driven approaches within its TransCon platform to optimize prodrug design and pharmacokinetics, but does not ship AI-powered products to customers or report specific AI-driven cost savings. Market Share (2/2): YORVIPATH is the first and only approved treatment for chronic hypoparathyroidism, creating an entirely new therapeutic category with no direct competition [1]. SKYTROFA has captured meaningful share in pediatric growth hormone deficiency with differentiated once-weekly dosing versus daily injections. Pipeline (2/2): TransCon CNP for achondroplasia is under FDA review. The oncology pipeline includes ARES (naveprevtide) targeting solid tumors. EUR 17M collaboration milestone received from Teijin for TransCon CNP in Q2 2026. Vision 2030 targets EUR 5B in annual revenue [1]. R&amp;D Intensity (0/1): R&amp;D spending as a percentage of revenue has naturally declined as the company scales commercially, moving from R&amp;D-heavy clinical stage to margin expansion.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Ascendis articulates commitment to core values of 'Patients, Science, and Passion' and focuses on addressing unmet medical needs through innovative rare disease therapies [2]. The purpose is clear and genuine — serving patients with rare endocrine conditions who have few or no alternatives — but the articulation is not distinctive from peer biotech mission statements. Community Impact (1/2): Ascendis publishes annual Sustainability and P|ESG reports aligning with UN SDGs, operates patient assistance programs for rare disease therapies, and created an entirely new treatment category for hypoparathyroidism patients who previously had no approved therapy [2]. Employee Retention (1/2): CEO Jan Moller Mikkelsen has led the company since founding in 2007 — an exceptional 19-year tenure demonstrating sustained leadership continuity through pre-revenue development, clinical trials, and commercialization [2]. Management team average tenure and board tenure reflect institutional stability. Insider Buying (1/2): Mixed insider activity in 2026 — CFO Scott Thomas and director Jean-Jacques Bienaime made multiple purchases, but officer Flemming Jensen sold $4.6M in shares, resulting in mixed net activity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Ascendis demonstrates exceptional financial momentum across all measured dimensions. D/E of 31.33% is well below the 70% target (score 1.0) following the full redemption of $575M in convertible notes — the company holds EUR 812M in cash with minimal remaining debt [1]. ROE of 118.78% reflects massive profitability on a growing equity base (score 1.0, 2x weight). Revenue growth of 114.7% YoY in Q2 2026 with product revenue doubling to EUR 315M demonstrates continued acceleration (score 1.0) [1]. Revenue CAGR from 2022-2025 exceeds 100% as the company scaled from EUR 51M to EUR 720M (score 1.0, 2x weight). Profit margin of 70.85% is outstanding for biopharma (score 1.0), though H1 2026 profits were partially boosted by a EUR 158M priority review voucher sale. Forward P/E of 21.28x is slightly above the 20x target (score 0.97). Management guided EUR 500M+ in 2026 operating cash flow with a Vision 2030 target of EUR 5B+ revenue [1]. Liquidity floor cleared: 667,357 avg daily volume x $229.23 = $153M.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Ascendis Pharma demonstrates strong infinite-game characteristics through its 19-year commitment to the TransCon platform technology, patient-centric rare disease focus, and founder-led consistency under CEO Mikkelsen's tenure. The company's willingness to invest through years of cumulative losses to build a differentiated platform — now validated by blockbuster YORVIPATH and three commercial products — reflects genuine long-term thinking. The debt payoff and EUR 812M cash position demonstrate the platform thesis has been vindicated, while the expansion into oncology shows continued strategic ambition.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Ascendis has a genuine purpose — transforming treatment for patients with rare endocrine diseases through its proprietary TransCon technology [2]. The company spent nearly two decades developing this platform before reaching profitability, demonstrating that purpose drove strategic patience. YORVIPATH created an entirely new treatment category for chronic hypoparathyroidism, directly improving quality of life for an underserved patient population [1]. However, 'making a difference for patients' is common in biotech and lacks the distinctiveness of a fully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team stability and CEO Mikkelsen's 19-year tenure provide exceptional leadership continuity [2]. The company remains lean at ~1,189 employees despite global commercial operations across endocrinology and expanding into oncology. Recent leadership additions (new CMO, new US President) indicate appropriate organizational development. However, no specific employee engagement scores, turnover data, or cultural practices distinguishing Ascendis from peers were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Ascendis competes in endocrinology against established players like Novo Nordisk and Eli Lilly, and management's competitive approach focuses on clinical differentiation and patient outcomes rather than market share destruction [1]. The company's strategy — creating new treatment categories (hypoparathyroidism) rather than competing head-to-head on existing therapies — reflects a learn-and-improve mindset that uses competitive pressure to innovate rather than dominate.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Ascendis expanded from its initial endocrinology focus into oncology with the ARES (naveprevtide) program, demonstrating willingness to apply the TransCon platform to new therapeutic areas [1]. The Teijin partnership for Japan commercialization and transition from ADSs to direct ordinary share listing on NASDAQ show geographic and structural flexibility. These are adjacent-market extensions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Jan Moller Mikkelsen led the company through 19 years including extended pre-revenue development, investing heavily in TransCon platform R&amp;D while accumulating losses before achieving profitability [2]. The decision to pursue niche rare disease indications rather than larger but more competitive markets reflects strategic discipline. The full redemption of $575M in convertible notes — choosing balance sheet strength over preserving financial optionality — shows conviction in the commercial trajectory [1]. However, these represent standard biotech lifecycle decisions rather than examples of sacrificing profitable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Ascendis Pharma has executed one of the most impressive clinical-to-commercial transitions in recent biotech history. YORVIPATH achieved blockbuster status with EUR 252M in Q2 2026 alone, while total product revenue doubled YoY to EUR 315M and non-IFRS operating margin reached 27% [1]. The company is effectively debt-free after redeeming $575M in convertible notes, holding EUR 812M in cash. Three commercial products (YORVIPATH, SKYTROFA, YUVIWEL) all derive from the validated TransCon platform, with 70.85% profit margin and guidance for EUR 500M+ in 2026 operating cash flow. The Vision 2030 target of EUR 5B+ annual revenue implies significant growth runway from the current EUR 1B+ annualized base [1]. Founder-CEO Mikkelsen's 19-year leadership tenure and the platform's proven versatility across multiple indications provide rare conviction in the long-term thesis [2]. Infrastructure scores at ceiling with D/E of 31% and 115% revenue growth.</w:t>
      </w:r>
    </w:p>
    <w:p>
      <w:pPr>
        <w:spacing w:after="120"/>
      </w:pPr>
      <w:r>
        <w:rPr>
          <w:rFonts w:ascii="Calibri" w:hAnsi="Calibri"/>
          <w:b w:val="0"/>
          <w:color w:val="3A4A28"/>
          <w:sz w:val="20"/>
        </w:rPr>
        <w:t>The bear case centers on pipeline concentration, valuation premium, and execution risk at scale. YORVIPATH represents approximately 70-80% of product revenue, creating single-product concentration risk — any safety signal, competitive entry from PTH analogs, or reimbursement challenge could materially impact results [1]. TransCon CNP FDA review carries binary risk; a Complete Response Letter would remove a major pipeline catalyst. At 21.28x forward earnings, ASND is priced for strong continued execution, and any commercial deceleration or pipeline setback could trigger meaningful de-rating. H1 2026 profits were boosted by EUR 158M from a non-recurring priority review voucher sale, inflating trailing profitability metrics beyond sustainable levels. International expansion into Japan (Teijin) and broader EU markets introduces regulatory complexity and market access risk. The company must scale from ~1,189 employees to support global multi-product commercial operations, introducing organizational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TransCon CNP FDA PDUFA decision for achondroplasia — approval would add a fourth commercial product addressing a significant rare disease market with limited competition, with EUR 17M Teijin milestone already received in Q2 [1]</w:t>
      </w:r>
    </w:p>
    <w:p>
      <w:pPr>
        <w:spacing w:before="40" w:after="40"/>
        <w:ind w:left="283"/>
      </w:pPr>
      <w:r>
        <w:rPr>
          <w:rFonts w:ascii="Calibri" w:hAnsi="Calibri"/>
          <w:b/>
          <w:color w:val="4A6B25"/>
          <w:sz w:val="20"/>
        </w:rPr>
        <w:t xml:space="preserve">2. </w:t>
      </w:r>
      <w:r>
        <w:rPr>
          <w:rFonts w:ascii="Calibri" w:hAnsi="Calibri"/>
          <w:b w:val="0"/>
          <w:color w:val="3A4A28"/>
          <w:sz w:val="20"/>
        </w:rPr>
        <w:t>YORVIPATH's blockbuster trajectory (EUR 252M Q2 revenue, 105% YoY growth) targeting EUR 5B+ annual global revenue by 2030, supported by geographic expansion and growing hypoparathyroidism diagnosis rates [1]</w:t>
      </w:r>
    </w:p>
    <w:p>
      <w:pPr>
        <w:spacing w:before="40" w:after="40"/>
        <w:ind w:left="283"/>
      </w:pPr>
      <w:r>
        <w:rPr>
          <w:rFonts w:ascii="Calibri" w:hAnsi="Calibri"/>
          <w:b/>
          <w:color w:val="4A6B25"/>
          <w:sz w:val="20"/>
        </w:rPr>
        <w:t xml:space="preserve">3. </w:t>
      </w:r>
      <w:r>
        <w:rPr>
          <w:rFonts w:ascii="Calibri" w:hAnsi="Calibri"/>
          <w:b w:val="0"/>
          <w:color w:val="3A4A28"/>
          <w:sz w:val="20"/>
        </w:rPr>
        <w:t>Debt-free balance sheet with EUR 812M cash and EUR 500M+ guided 2026 operating cash flow enables self-funded pipeline investment, M&amp;A optionality, and potential capital returns to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YORVIPATH concentration risk — approximately 70-80% of product revenue from a single product, with potential competitive entry from PTH analogs or biosimilars that could compress pricing and market share over time [1]</w:t>
      </w:r>
    </w:p>
    <w:p>
      <w:pPr>
        <w:spacing w:before="40" w:after="40"/>
        <w:ind w:left="283"/>
      </w:pPr>
      <w:r>
        <w:rPr>
          <w:rFonts w:ascii="Calibri" w:hAnsi="Calibri"/>
          <w:b/>
          <w:color w:val="4A6B25"/>
          <w:sz w:val="20"/>
        </w:rPr>
        <w:t xml:space="preserve">2. </w:t>
      </w:r>
      <w:r>
        <w:rPr>
          <w:rFonts w:ascii="Calibri" w:hAnsi="Calibri"/>
          <w:b w:val="0"/>
          <w:color w:val="3A4A28"/>
          <w:sz w:val="20"/>
        </w:rPr>
        <w:t>Forward P/E of 21.28x prices in sustained triple-digit revenue growth — any deceleration in YORVIPATH uptake, pipeline setback (TransCon CNP CRL), or margin compression from commercial scaling and the fading EUR 158M voucher sale would trigger de-rating [1]</w:t>
      </w:r>
    </w:p>
    <w:p>
      <w:pPr>
        <w:spacing w:before="40" w:after="40"/>
        <w:ind w:left="283"/>
      </w:pPr>
      <w:r>
        <w:rPr>
          <w:rFonts w:ascii="Calibri" w:hAnsi="Calibri"/>
          <w:b/>
          <w:color w:val="4A6B25"/>
          <w:sz w:val="20"/>
        </w:rPr>
        <w:t xml:space="preserve">3. </w:t>
      </w:r>
      <w:r>
        <w:rPr>
          <w:rFonts w:ascii="Calibri" w:hAnsi="Calibri"/>
          <w:b w:val="0"/>
          <w:color w:val="3A4A28"/>
          <w:sz w:val="20"/>
        </w:rPr>
        <w:t>Scaling from ~1,189 employees to support global multi-product commercial operations across endocrinology and oncology introduces organizational execution risk as the company transitions from focused rare disease biotech to diversified biopharma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Ascendis operates in biologics manufacturing and rare disease therapeutics — a domain structurally immune to AI disruption [1]. The value chain involves complex protein engineering (proprietary TransCon platform), clinical trials requiring physical patient enrollment, FDA/EMA regulatory approval, and specialty pharmacy distribution for injectable biologics. AI cannot replace physical drug manufacturing, clinical trial execution, or regulatory compliance. The rare disease focus adds further protection — small patient populations require specialized medical affairs teams and patient identification programs that AI augments but cannot substitute. Biosimilar competition rather than AI substitution is the primary competitive threat. AI Opportunity (0/1): Ascendis uses computational approaches in drug design but does not generate quantifiable revenue from AI products or services. The TransCon platform is chemistry-based, not AI-driven.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Ascendis Pharma Q2 2026 Financial Results — EUR 339M total revenue, EUR 315M product revenue (+105% YoY), YORVIPATH EUR 252M (blockbuster), SKYTROFA EUR 55M, YUVIWEL EUR 8M, EUR 220M IFRS operating profit (EUR 92M non-IFRS, 27% margin), EUR 158M voucher sale, $575M convertible note redemption, EUR 812M cash — Pulse2, Quartr, Ascendis IR, August 2026</w:t>
      </w:r>
    </w:p>
    <w:p>
      <w:pPr>
        <w:spacing w:before="20" w:after="20"/>
        <w:ind w:left="170"/>
      </w:pPr>
      <w:r>
        <w:rPr>
          <w:rFonts w:ascii="Calibri" w:hAnsi="Calibri"/>
          <w:b/>
          <w:color w:val="4A6B25"/>
          <w:sz w:val="15"/>
        </w:rPr>
        <w:t xml:space="preserve">2. </w:t>
      </w:r>
      <w:r>
        <w:rPr>
          <w:rFonts w:ascii="Calibri" w:hAnsi="Calibri"/>
          <w:b w:val="0"/>
          <w:color w:val="3A4A28"/>
          <w:sz w:val="17"/>
        </w:rPr>
        <w:t>Ascendis Pharma Corporate Profile — CEO Jan Moller Mikkelsen (founder, 19-year tenure), core values (Patients/Science/Passion), TransCon platform, P|ESG reporting, Sustainalytics ESG Medium Exposure / Average Management — ascendispharma.com, Sustainalytics, SimplyWallSt, 2026</w:t>
      </w:r>
    </w:p>
    <w:p>
      <w:pPr>
        <w:spacing w:before="20" w:after="20"/>
        <w:ind w:left="170"/>
      </w:pPr>
      <w:r>
        <w:rPr>
          <w:rFonts w:ascii="Calibri" w:hAnsi="Calibri"/>
          <w:b/>
          <w:color w:val="4A6B25"/>
          <w:sz w:val="15"/>
        </w:rPr>
        <w:t xml:space="preserve">3. </w:t>
      </w:r>
      <w:r>
        <w:rPr>
          <w:rFonts w:ascii="Calibri" w:hAnsi="Calibri"/>
          <w:b w:val="0"/>
          <w:color w:val="3A4A28"/>
          <w:sz w:val="17"/>
        </w:rPr>
        <w:t>SEC Form 4 / Insider Transaction Data — CFO Thomas and Director Bienaime purchases, officer Jensen $4.6M sale, mixed net insider activity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