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ASST</w:t>
      </w:r>
      <w:r>
        <w:rPr>
          <w:rFonts w:ascii="Calibri" w:hAnsi="Calibri"/>
          <w:b/>
          <w:color w:val="1A2010"/>
          <w:sz w:val="40"/>
        </w:rPr>
        <w:t xml:space="preserve">  Strive, Inc.</w:t>
      </w:r>
    </w:p>
    <w:p>
      <w:pPr>
        <w:spacing w:after="120"/>
      </w:pPr>
      <w:r>
        <w:rPr>
          <w:rFonts w:ascii="Calibri" w:hAnsi="Calibri"/>
          <w:b/>
          <w:color w:val="6E8450"/>
          <w:sz w:val="18"/>
        </w:rPr>
        <w:t>GROWTH SLEEVE · 2026-10-20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NGM · United States</w:t>
      </w:r>
    </w:p>
    <w:p>
      <w:pPr>
        <w:spacing w:after="80"/>
      </w:pPr>
      <w:r>
        <w:rPr>
          <w:rFonts w:ascii="Calibri" w:hAnsi="Calibri"/>
          <w:b w:val="0"/>
          <w:color w:val="3A4A28"/>
          <w:sz w:val="20"/>
        </w:rPr>
        <w:t>Strive, Inc. is an asset management and Bitcoin treasury company founded in 2022 by Vivek Ramaswamy and Anson Frericks in Dallas, Texas. Originally launched as an anti-ESG ETF provider pursuing 'excellence capitalism,' the firm crossed $1B in AUM within 18 months and subsequently pivoted to a Bitcoin-focused treasury strategy. TTM revenue is approximately $8.5M with a -84.8% operating margin, reflecting deep unprofitability as the company scales its asset management and Bitcoin treasury operations.</w:t>
      </w:r>
    </w:p>
    <w:p>
      <w:r>
        <w:rPr>
          <w:rFonts w:ascii="Calibri" w:hAnsi="Calibri"/>
          <w:b/>
          <w:color w:val="6E8450"/>
          <w:sz w:val="18"/>
        </w:rPr>
        <w:t>28 Employees · https://www.strive.com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Strive launched anti-ESG ETFs in 2022 and crossed $1B AUM within 18 months, an impressive growth rate for a startup asset manager, but the core product — index funds with conservative proxy voting — is an incremental extension of existing passive ETF structures rather than a market pivot or business model transformation [1][3]. The Bitcoin treasury strategy adopted in 2024-2025 represents financial positioning rather than product innovation. AI Deployment (0/2): No evidence of AI-powered products, AI-driven cost savings, or any AI strategy across Strive's asset management or treasury operations [3]. Market Share (0/2): Strive manages approximately $1B+ in assets, a negligible fraction of the $10T+ U.S. ETF market dominated by BlackRock, Vanguard, and State Street [3]. Product Pipeline (1/2): The company has articulated a Bitcoin treasury strategy and continues expanding its ETF product lineup, though specific next-generation product timelines and revenue visibility remain limited [1][2]. R&amp;D Intensity (0/1): Asset management firms do not typically invest in R&amp;D; Strive allocates capital to AUM growth and Bitcoin accumulation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Strive's stated purpose — pursuing 'excellence capitalism' by depoliticizing corporate America and maximizing shareholder value over political agendas — is distinctive and differentiates from ESG-focused peers, identifying a specific ideological position that guides its proxy voting and product design [3]. However, the mission is fundamentally reactive (opposing ESG) rather than articulating a positive vision of a future state that inspires beyond shareholder returns. Community Impact (0/2): No evidence of charitable giving, community investment programs, or foundation activity for a 28-employee startup [3]. Employee Retention (0/2): Two former employees filed a lawsuit against co-founders Ramaswamy and Frericks alleging mistreatment and pressure to violate securities law, a serious negative signal for a firm with fewer than 30 employees [4]. No positive retention or tenure data available. Insider Buying (0/2): Ramaswamy stepped away from day-to-day operations to run for president, transferring CEO duties to CIO Matt Cole; no evidence of net insider buying by executives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Strive's sole financial strength is negligible debt — D/E of 0.25% scores a perfect 1.0 against the 70% target, reflecting the company's cash-funded startup structure with $188M cash against $3.3M debt [5]. Revenue growth of 94.6% YoY also scores 1.0, driven by scaling from a $3.65M base to approximately $8.5M TTM [1][2]. However, every profitability metric scores 0: ROE of -137.1% is deeply below the 0% floor, profit margin of 0% is at the floor, and Forward P/E of -26.6 reflects expected continued losses with forward EPS of -$0.96 [5]. Operating cash flow is -$72.6M and free cash flow is -$455M, indicating massive cash consumption. PEG ratio and 5yr revenue CAGR are unavailable and excluded. Daily dollar volume of $193M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Strive operates with a predominantly finite mindset — its founding purpose is defined in opposition to ESG rather than in service of a positive future vision, and its competitive language consistently frames the company as fighting against BlackRock and woke capitalism rather than building something enduring. The founder's departure to pursue political ambitions, combined with employee lawsuits alleging mistreatment, signals organizational instability that conflicts with infinite game principles of trusting teams and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Strive articulates a purpose — 'excellence capitalism' and depoliticizing corporate America — but this reads as a political position rather than a Just Cause in Sinek's framework [3]. It is reactive (opposing ESG and woke investing) rather than aspirational (describing a future state so compelling that people sacrifice to advance it). The mission does not describe what a better world looks like — only what it opposes. Leadership does not consistently reference this purpose in strategic decisions beyond proxy voting.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lawsuit filed by two former employees accusing co-founders Ramaswamy and Frericks of mistreating staff and pressuring employees to break securities law is a significant red flag for a company with only 28 employees [4]. The founder's departure to run for president, with CEO duties transferred to the CIO, introduces leadership instability. With such a small team, interpersonal conflict at the founder level signals a low-trust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Strive's competitive language is thoroughly finite — the company positions itself as fighting against BlackRock, ESG-focused asset managers, and 'woke capitalism,' using adversarial framing of 'beating' the opposition rather than acknowledging competitors' strengths or using competitive pressure for self-improvement [3]. Ramaswamy's public rhetoric explicitly frames the asset management landscape as a battleground to win, not a field of worthy rivals to learn from.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pure anti-ESG ETF management to a Bitcoin treasury strategy represents meaningful business model evolution, demonstrating willingness to adopt a fundamentally different capital allocation approach in response to market opportunity [1]. However, this pivot appears driven by financial opportunity and market trends (Bitcoin price appreciation) rather than service of a Just Cause, and the company is too young (founded 2022) to have faced a genuine existential test.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performance for long-term capability building. Ramaswamy's departure to pursue a presidential campaign prioritized personal ambition over organizational development [3]. The company's growth strategy has focused on AUM accumulation and Bitcoin treasury positioning rather than patient investment in differentiated capability. The employee lawsuit suggests leadership decisions that protect founders' interests over organizational health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Strive at $25.54 with a $2.6B market cap represents a highly speculative Bitcoin treasury and asset management play trading at over 300x TTM revenue of $8.5M. The company grew revenue 94.6% YoY and crossed $1B in AUM within 18 months of launch, demonstrating strong demand for anti-ESG investment products [1][3]. The pivot to Bitcoin treasury operations provides leveraged exposure to Bitcoin price appreciation, and near-zero debt with $188M in cash offers financial flexibility. The anti-ESG proxy voting model is differentiated in a market dominated by ESG-aligned managers, and Strive's political brand recognition through founder Vivek Ramaswamy provides organic marketing advantages [3].</w:t>
      </w:r>
    </w:p>
    <w:p>
      <w:pPr>
        <w:spacing w:after="120"/>
      </w:pPr>
      <w:r>
        <w:rPr>
          <w:rFonts w:ascii="Calibri" w:hAnsi="Calibri"/>
          <w:b w:val="0"/>
          <w:color w:val="3A4A28"/>
          <w:sz w:val="20"/>
        </w:rPr>
        <w:t>The bear case is severe: Strive is deeply unprofitable with operating margins of -84.8%, operating cash outflow of $72.6M, and free cash burn of $455M against just $8.5M in revenue [1][5]. Q1 2026 EPS of -$5.19 missed the -$2.62 consensus by nearly 100%, and forward EPS of -$0.96 projects continued losses [1][2]. The Bitcoin treasury strategy concentrates risk in a single volatile asset class, and the $2.6B market cap is almost entirely Bitcoin-valuation-dependent rather than earnings-supported. The founder's departure to politics raises leadership continuity concerns, employee lawsuits signal governance risks, and the anti-ESG thesis depends on sustained political demand that could reverse with policy shifts [3][4]. With only 28 employees and $8.5M in revenue supporting a multi-billion-dollar valuation, the risk-reward skew is extreme.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appreciation — as a Bitcoin treasury company, Strive's market cap is directly leveraged to BTC price movements, with any sustained rally driving outsized valuation gains on the treasury holdings</w:t>
      </w:r>
    </w:p>
    <w:p>
      <w:pPr>
        <w:spacing w:before="40" w:after="40"/>
        <w:ind w:left="283"/>
      </w:pPr>
      <w:r>
        <w:rPr>
          <w:rFonts w:ascii="Calibri" w:hAnsi="Calibri"/>
          <w:b/>
          <w:color w:val="4A6B25"/>
          <w:sz w:val="20"/>
        </w:rPr>
        <w:t xml:space="preserve">2. </w:t>
      </w:r>
      <w:r>
        <w:rPr>
          <w:rFonts w:ascii="Calibri" w:hAnsi="Calibri"/>
          <w:b w:val="0"/>
          <w:color w:val="3A4A28"/>
          <w:sz w:val="20"/>
        </w:rPr>
        <w:t>AUM growth acceleration — continued demand for anti-ESG investment products and potential new ETF launches could drive the asset management revenue base above the current $8.5M TTM run rate [1][3]</w:t>
      </w:r>
    </w:p>
    <w:p>
      <w:pPr>
        <w:spacing w:before="40" w:after="40"/>
        <w:ind w:left="283"/>
      </w:pPr>
      <w:r>
        <w:rPr>
          <w:rFonts w:ascii="Calibri" w:hAnsi="Calibri"/>
          <w:b/>
          <w:color w:val="4A6B25"/>
          <w:sz w:val="20"/>
        </w:rPr>
        <w:t xml:space="preserve">3. </w:t>
      </w:r>
      <w:r>
        <w:rPr>
          <w:rFonts w:ascii="Calibri" w:hAnsi="Calibri"/>
          <w:b w:val="0"/>
          <w:color w:val="3A4A28"/>
          <w:sz w:val="20"/>
        </w:rPr>
        <w:t>Regulatory or political tailwinds — growing anti-ESG sentiment among state pension funds and Republican-led legislatures could channel institutional mandates toward Strive's product suite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Catastrophic cash burn — operating cash outflow of $72.6M and free cash burn of $455M against $8.5M revenue is unsustainable without continued capital raises, which will dilute existing shareholders at premium valuations [1][5]</w:t>
      </w:r>
    </w:p>
    <w:p>
      <w:pPr>
        <w:spacing w:before="40" w:after="40"/>
        <w:ind w:left="283"/>
      </w:pPr>
      <w:r>
        <w:rPr>
          <w:rFonts w:ascii="Calibri" w:hAnsi="Calibri"/>
          <w:b/>
          <w:color w:val="4A6B25"/>
          <w:sz w:val="20"/>
        </w:rPr>
        <w:t xml:space="preserve">2. </w:t>
      </w:r>
      <w:r>
        <w:rPr>
          <w:rFonts w:ascii="Calibri" w:hAnsi="Calibri"/>
          <w:b w:val="0"/>
          <w:color w:val="3A4A28"/>
          <w:sz w:val="20"/>
        </w:rPr>
        <w:t>Bitcoin concentration risk — the treasury strategy creates binary exposure to Bitcoin price volatility; a sustained BTC decline would erode both the balance sheet and the market cap thesis simultaneously</w:t>
      </w:r>
    </w:p>
    <w:p>
      <w:pPr>
        <w:spacing w:before="40" w:after="40"/>
        <w:ind w:left="283"/>
      </w:pPr>
      <w:r>
        <w:rPr>
          <w:rFonts w:ascii="Calibri" w:hAnsi="Calibri"/>
          <w:b/>
          <w:color w:val="4A6B25"/>
          <w:sz w:val="20"/>
        </w:rPr>
        <w:t xml:space="preserve">3. </w:t>
      </w:r>
      <w:r>
        <w:rPr>
          <w:rFonts w:ascii="Calibri" w:hAnsi="Calibri"/>
          <w:b w:val="0"/>
          <w:color w:val="3A4A28"/>
          <w:sz w:val="20"/>
        </w:rPr>
        <w:t>Governance and leadership instability — founder departure to politics, employee lawsuits alleging securities law violations, and a 28-person organization with no profitable track record present meaningful execution and reputational risks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Strive's core business — passive ETF management with activist proxy voting — has meaningful defenses against AI disruption. Index fund management is already highly automated, meaning AI adds limited additional substitution risk, while the differentiated proxy voting strategy requires human judgment on corporate governance issues that AI cannot easily replicate [3]. However, robo-advisory platforms and AI-driven portfolio construction tools from established players could commoditize the passive ETF distribution model, and the Bitcoin treasury strategy faces no AI-specific protection. The asset management industry broadly faces moderate AI exposure as AI-powered financial advisors gain market share. AI Opportunity (0/1): No evidence of AI-generated revenue, AI-powered products, or AI-driven services in Strive's asset management or treasury operations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Strive (ASST) Q1 2026 Earnings Report — EPS -$5.19 vs -$2.62 Expected, Revenue $2.76M, May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ASST Consensus Estimates, Revenue $14.1M FY2026, EPS -$0.34, April 2026</w:t>
      </w:r>
    </w:p>
    <w:p>
      <w:pPr>
        <w:spacing w:before="20" w:after="20"/>
        <w:ind w:left="170"/>
      </w:pPr>
      <w:r>
        <w:rPr>
          <w:rFonts w:ascii="Calibri" w:hAnsi="Calibri"/>
          <w:b/>
          <w:color w:val="4A6B25"/>
          <w:sz w:val="15"/>
        </w:rPr>
        <w:t xml:space="preserve">3. </w:t>
      </w:r>
      <w:r>
        <w:rPr>
          <w:rFonts w:ascii="Calibri" w:hAnsi="Calibri"/>
          <w:b w:val="0"/>
          <w:color w:val="3A4A28"/>
          <w:sz w:val="17"/>
        </w:rPr>
        <w:t>ETF.com and Investment News — Vivek Ramaswamy and Strive Asset Management, Founding History, $1B+ AUM, Excellence Capitalism Strategy, 2022-2025</w:t>
      </w:r>
    </w:p>
    <w:p>
      <w:pPr>
        <w:spacing w:before="20" w:after="20"/>
        <w:ind w:left="170"/>
      </w:pPr>
      <w:r>
        <w:rPr>
          <w:rFonts w:ascii="Calibri" w:hAnsi="Calibri"/>
          <w:b/>
          <w:color w:val="4A6B25"/>
          <w:sz w:val="15"/>
        </w:rPr>
        <w:t xml:space="preserve">4. </w:t>
      </w:r>
      <w:r>
        <w:rPr>
          <w:rFonts w:ascii="Calibri" w:hAnsi="Calibri"/>
          <w:b w:val="0"/>
          <w:color w:val="3A4A28"/>
          <w:sz w:val="17"/>
        </w:rPr>
        <w:t>Fortune — Former Strive Employees Lawsuit Against Co-Founders Ramaswamy and Frericks, Allegations of Mistreatment and Securities Law Pressure, 2023-2024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ASST Key Statistics, Market Cap $2.6B, 28 Employees,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