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ASTI</w:t>
      </w:r>
      <w:r>
        <w:rPr>
          <w:rFonts w:ascii="Calibri" w:hAnsi="Calibri"/>
          <w:b/>
          <w:color w:val="1A2010"/>
          <w:sz w:val="40"/>
        </w:rPr>
        <w:t xml:space="preserve">  Ascent Solar Technologies, Inc.</w:t>
      </w:r>
    </w:p>
    <w:p>
      <w:pPr>
        <w:spacing w:after="120"/>
      </w:pPr>
      <w:r>
        <w:rPr>
          <w:rFonts w:ascii="Calibri" w:hAnsi="Calibri"/>
          <w:b/>
          <w:color w:val="6E8450"/>
          <w:sz w:val="18"/>
        </w:rPr>
        <w:t>GROWTH SLEEVE · 2026-09-03 · Inspire: 64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Solar · NASDAQ · United States</w:t>
      </w:r>
    </w:p>
    <w:p>
      <w:pPr>
        <w:spacing w:after="80"/>
      </w:pPr>
      <w:r>
        <w:rPr>
          <w:rFonts w:ascii="Calibri" w:hAnsi="Calibri"/>
          <w:b w:val="0"/>
          <w:color w:val="3A4A28"/>
          <w:sz w:val="20"/>
        </w:rPr>
        <w:t>Ascent Solar Technologies designs and manufactures lightweight, flexible copper indium gallium diselenide (CIGS) thin-film photovoltaic modules for aerospace, defense, agrivoltaics, and specialty terrestrial applications. The company partnered with NOVI Space to supply rollable PV blankets for AI-powered satellite constellations scheduled for 2026 launch. Revenue remains minimal at ~$147K for H1 2026 against annual losses exceeding $7M, with auditors flagging substantial going-concern doubt. Market cap is approximately $29M.</w:t>
      </w:r>
    </w:p>
    <w:p>
      <w:r>
        <w:rPr>
          <w:rFonts w:ascii="Calibri" w:hAnsi="Calibri"/>
          <w:b/>
          <w:color w:val="6E8450"/>
          <w:sz w:val="18"/>
        </w:rPr>
        <w:t>50 Employees · https://www.ascentsolar.com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Ascent Solar has pivoted from consumer portable chargers toward aerospace and defense thin-film PV applications over the past 5 years, signing a Master Services Agreement with NOVI Space for rollable PV array blankets powering AI satellite constellations scheduled for spring 2026 launch [1]. However, revenue remains negligible (~$147K in H1 2026), demonstrating the pivot has not yet translated into commercial traction at any meaningful scale. AI Deployment (0/2): No evidence of AI deployment in products or internal operations; the company is a hardware supplier to AI-adjacent satellite customers, not an AI developer itself. Market Share (1/2): ASTI occupies a genuine niche in flexible CIGS thin-film solar for space and defense applications where rigid panels are unsuitable, but market share data is unavailable and the ~$147K H1 revenue suggests minimal market penetration [2]. Product Pipeline (1/2): Management outlined strategic goals for H2 2026 including scaled manufacturing for aerospace contracts, agrivoltaics, and defense markets, with 2026 revenue guidance of $5-20M and 2027 guidance of $25-40M — but these targets lack specific named products with quantified visibility [1]. R&amp;D Intensity (0/1): R&amp;D spending data is not publicly available; the company's negligible revenue base makes meaningful R&amp;D intensity calculation impractical.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Ascent Solar's stated purpose centers on providing lightweight, flexible solar power solutions for markets where traditional panels fail. This is clear but generic — it describes the product category rather than articulating a deeper purpose or inspiring vision beyond the immediate commercial opportunity. Community Impact (0/2): No evidence of charitable programs, foundation activity, or meaningful community investment beyond the inherent environmental benefit of solar technology. Employee Retention (0/2): Glassdoor rating of 2.6/5 based on 24 reviews, with employees citing senior leadership and management as primary cons [2]. A review referenced the CEO setting 'fantastical, unachievable goals,' indicating cultural challenges. With approximately 50 employees and limited public retention data, no evidence of mission-driven retention exists. Insider Buying (1/2): No specific insider transaction data was found; the company's micro-cap status and thin trading make insider transaction data unreliable as a signal. Scored neutral rather than zero given data limitations.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passes: avg daily volume of ~904K shares at $2.94 yields ~$2.66M daily dollar volume, above the $1M threshold [3]. Mechanically scored on available metrics (Growth sleeve): D/E of 44% is well below the 70% target, scoring 1.0 (1x weight). ROE of -233% is far below the 0% floor, scoring 0.0 (2x weight). Revenue growth YoY of 461% scores 1.0, though this is off a $17K base — mechanically valid but commercially misleading (1x weight). Profit margin of approximately -5,300% scores 0.0 (1x weight). Forward P/E, PEG, and 5yr revenue CAGR are unavailable and excluded. Weighted sum: (1x1.0) + (2x0.0) + (1x1.0) + (1x0.0) = 2.0 out of max 5.0. Infrastructure = 2.0/5.0 x 10 = 4. FY2025 revenue was $76.8K against net losses of $7.8M, with $2.79M cash and going-concern warnings from auditors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Ascent Solar exhibits predominantly finite-game characteristics — the company has survived through repeated capital raises and strategic pivots driven by necessity rather than a consistent long-term cause. Multiple leadership transitions and persistent going-concern warnings suggest a company playing to survive this quarter rather than building something enduring. The pivot toward aerospace and defense applications from consumer markets shows some strategic flexibility, but execution remains unproven at negligible revenue scale.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Ascent Solar has a general purpose around enabling solar power in environments where traditional panels fail, but this reads more as product positioning than a Just Cause in Sinek's framework. The company has not demonstrated consistency of purpose through leadership transitions — it has pivoted from consumer to military to space applications as each previous market failed to generate meaningful revenue [1]. No evidence that leadership references a unifying cause in strategic communications beyond commercial objectives.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2.6/5 with employees citing senior leadership and management as primary concerns is a significant red flag for organizational trust [2]. Reviews reference unrealistic goal-setting by leadership, which in Sinek's framework represents a failure to create psychological safety. Multiple CEO transitions in recent years create organizational instability that undermines the trust needed for infinite play. With ~50 employees and persistent financial uncertainty including going-concern warnings, the environment is unlikely to foster deep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The company's communications focus on its unique niche in flexible CIGS thin-film solar rather than engaging with or learning from competitors' strengths. At ASTI's scale and stage, competitive strategy is about survival and differentiation rather than the self-improvement orientation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Ascent Solar has demonstrated strategic flexibility by pivoting from consumer portable solar chargers toward aerospace, defense, and agrivoltaics markets when the consumer approach failed to scale. The NOVI Space partnership and focus on space-grade PV blankets represent a meaningful strategic evolution [1]. However, these pivots appear driven by commercial necessity rather than cause-driven reinvention, and none have yet proven out commercially with revenue of only $147K in H1 2026.</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that sacrifice near-term results. The company has operated under going-concern warnings with $2.79M cash against $6.9M annual operating burn, relying on repeated capital raises to survive [3]. Leadership decisions appear reactive — pivoting to new markets as previous approaches failed — rather than proactive choices to sacrifice short-term results for long-term capability. The company has not generated meaningful results to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Ascent Solar occupies a genuine technological niche in flexible CIGS thin-film solar modules for aerospace and defense applications where rigid panels are physically unsuitable. The NOVI Space partnership to power AI satellite constellations positions ASTI at the intersection of space economy growth and AI infrastructure expansion, with the AI Pathfinder spacecraft scheduled for 2026 launch [1]. Management guides $5-20M in 2026 revenue and $25-40M in 2027 — representing transformative growth from the ~$77K FY2025 base. Q2 2026 revenue surged 461% YoY to $95.2K, and the company has paid off outstanding debt balances. The Inspire Impact Score of 64 (ALIGNED) may attract faith-based investors seeking clean energy exposure with space economy upside.</w:t>
      </w:r>
    </w:p>
    <w:p>
      <w:pPr>
        <w:spacing w:after="120"/>
      </w:pPr>
      <w:r>
        <w:rPr>
          <w:rFonts w:ascii="Calibri" w:hAnsi="Calibri"/>
          <w:b w:val="0"/>
          <w:color w:val="3A4A28"/>
          <w:sz w:val="20"/>
        </w:rPr>
        <w:t>The bear case is overwhelming at this stage. FY2025 revenue was $76.8K — not millions — against net losses of $7.8M and operating cash burn of $6.9M, with year-end cash of only $2.79M [3]. Auditors explicitly flagged substantial going-concern doubt, meaning the company may not survive without new financing. Management's revenue guidance of $5-20M for 2026 represents a 65-260x increase from FY2025, an extraordinary projection with minimal supporting evidence given that H1 2026 revenue of $147K annualizes to only ~$300K, far below even the low end of guidance. The stock has declined 70% from its 52-week high of $9.87 to $2.94, reflecting market skepticism about execution. Glassdoor reviews (2.6/5) and leadership instability create additional execution risk. This is a speculative pre-revenue micro-cap with going-concern risk, inappropriate for portfolios requiring capital preservation or reliable income.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NOVI Space AI Pathfinder spacecraft launch using ASTI PV blankets could validate the technology for larger satellite constellation contracts and demonstrate space-grade performance credentials in 2026 [1]</w:t>
      </w:r>
    </w:p>
    <w:p>
      <w:pPr>
        <w:spacing w:before="40" w:after="40"/>
        <w:ind w:left="283"/>
      </w:pPr>
      <w:r>
        <w:rPr>
          <w:rFonts w:ascii="Calibri" w:hAnsi="Calibri"/>
          <w:b/>
          <w:color w:val="4A6B25"/>
          <w:sz w:val="20"/>
        </w:rPr>
        <w:t xml:space="preserve">2. </w:t>
      </w:r>
      <w:r>
        <w:rPr>
          <w:rFonts w:ascii="Calibri" w:hAnsi="Calibri"/>
          <w:b w:val="0"/>
          <w:color w:val="3A4A28"/>
          <w:sz w:val="20"/>
        </w:rPr>
        <w:t>Achieving the low end of $5M 2026 revenue guidance would represent a transformative commercial inflection from pre-revenue status, potentially de-risking the company's aerospace and defense pipeline [1]</w:t>
      </w:r>
    </w:p>
    <w:p>
      <w:pPr>
        <w:spacing w:before="40" w:after="40"/>
        <w:ind w:left="283"/>
      </w:pPr>
      <w:r>
        <w:rPr>
          <w:rFonts w:ascii="Calibri" w:hAnsi="Calibri"/>
          <w:b/>
          <w:color w:val="4A6B25"/>
          <w:sz w:val="20"/>
        </w:rPr>
        <w:t xml:space="preserve">3. </w:t>
      </w:r>
      <w:r>
        <w:rPr>
          <w:rFonts w:ascii="Calibri" w:hAnsi="Calibri"/>
          <w:b w:val="0"/>
          <w:color w:val="3A4A28"/>
          <w:sz w:val="20"/>
        </w:rPr>
        <w:t>Expansion into agrivoltaics and defense markets beyond space applications could diversify revenue streams and reduce single-customer concentration risk on the NOVI partnership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warning with only $2.79M cash against $6.9M annual operating burn — the company likely needs additional capital raises in 2026, creating severe dilution risk for existing shareholders at depressed share prices [3]</w:t>
      </w:r>
    </w:p>
    <w:p>
      <w:pPr>
        <w:spacing w:before="40" w:after="40"/>
        <w:ind w:left="283"/>
      </w:pPr>
      <w:r>
        <w:rPr>
          <w:rFonts w:ascii="Calibri" w:hAnsi="Calibri"/>
          <w:b/>
          <w:color w:val="4A6B25"/>
          <w:sz w:val="20"/>
        </w:rPr>
        <w:t xml:space="preserve">2. </w:t>
      </w:r>
      <w:r>
        <w:rPr>
          <w:rFonts w:ascii="Calibri" w:hAnsi="Calibri"/>
          <w:b w:val="0"/>
          <w:color w:val="3A4A28"/>
          <w:sz w:val="20"/>
        </w:rPr>
        <w:t>H1 2026 revenue of $147K annualizes to ~$300K versus management guidance of $5-20M for full-year 2026, suggesting guidance may be aspirational rather than achievable without transformative contract wins in H2 2026</w:t>
      </w:r>
    </w:p>
    <w:p>
      <w:pPr>
        <w:spacing w:before="40" w:after="40"/>
        <w:ind w:left="283"/>
      </w:pPr>
      <w:r>
        <w:rPr>
          <w:rFonts w:ascii="Calibri" w:hAnsi="Calibri"/>
          <w:b/>
          <w:color w:val="4A6B25"/>
          <w:sz w:val="20"/>
        </w:rPr>
        <w:t xml:space="preserve">3. </w:t>
      </w:r>
      <w:r>
        <w:rPr>
          <w:rFonts w:ascii="Calibri" w:hAnsi="Calibri"/>
          <w:b w:val="0"/>
          <w:color w:val="3A4A28"/>
          <w:sz w:val="20"/>
        </w:rPr>
        <w:t>Single-customer concentration on NOVI Space partnership for near-term revenue creates dependency risk — any delays in NOVI's satellite launch schedule, funding, or program scope could eliminate ASTI's primary revenue pipeline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Ascent Solar's core business — manufacturing flexible thin-film CIGS solar modules for aerospace, defense, and specialty applications — involves physical-world hardware production that AI structurally cannot displace [1]. The company's technology requires specialized materials science expertise, proprietary manufacturing processes, and aerospace-grade qualification that cannot be replicated by software. AI may actually increase demand for ASTI's products: AI-powered satellite constellations (like NOVI's AI Pathfinder) and edge computing in space require lightweight, flexible power sources — exactly what ASTI manufactures [1]. No analysts have flagged AI as a substitution risk for thin-film solar hardware manufacturers. AI Opportunity (1/1): ASTI's partnership with NOVI Space to provide PV blankets for AI-powered satellite constellations represents a direct revenue link to AI infrastructure expansion, with the NOVI AI Pathfinder spacecraft using ASTI's rollable PV array blankets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Ascent Solar Technologies H1 2026 Achievements and Strategic Goals — GlobeNewsWire, July 14, 2026; NOVI Space PV Blankets Partnership Press Release, February 25, 2026; Q1/Q2 2026 10-Q Summaries via TradingView</w:t>
      </w:r>
    </w:p>
    <w:p>
      <w:pPr>
        <w:spacing w:before="20" w:after="20"/>
        <w:ind w:left="170"/>
      </w:pPr>
      <w:r>
        <w:rPr>
          <w:rFonts w:ascii="Calibri" w:hAnsi="Calibri"/>
          <w:b/>
          <w:color w:val="4A6B25"/>
          <w:sz w:val="15"/>
        </w:rPr>
        <w:t xml:space="preserve">2. </w:t>
      </w:r>
      <w:r>
        <w:rPr>
          <w:rFonts w:ascii="Calibri" w:hAnsi="Calibri"/>
          <w:b w:val="0"/>
          <w:color w:val="3A4A28"/>
          <w:sz w:val="17"/>
        </w:rPr>
        <w:t>Glassdoor Employee Reviews — Ascent Solar Technologies, 2.6/5 rating, 24 reviews; Company About Page — ascentsolar.com; Wikipedia — Ascent Solar</w:t>
      </w:r>
    </w:p>
    <w:p>
      <w:pPr>
        <w:spacing w:before="20" w:after="20"/>
        <w:ind w:left="170"/>
      </w:pPr>
      <w:r>
        <w:rPr>
          <w:rFonts w:ascii="Calibri" w:hAnsi="Calibri"/>
          <w:b/>
          <w:color w:val="4A6B25"/>
          <w:sz w:val="15"/>
        </w:rPr>
        <w:t xml:space="preserve">3. </w:t>
      </w:r>
      <w:r>
        <w:rPr>
          <w:rFonts w:ascii="Calibri" w:hAnsi="Calibri"/>
          <w:b w:val="0"/>
          <w:color w:val="3A4A28"/>
          <w:sz w:val="17"/>
        </w:rPr>
        <w:t>Ascent Solar FY2025 10-K Annual Report — Revenue $76,773, Net Loss $7.83M, Operating Cash Burn $6.9M, Cash $2.79M, Going-Concern Warning — StockTitan SEC Filing Summary; Yahoo Finance ASTI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